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67F2" w:rsidRDefault="00D167F2" w:rsidP="006A48A8">
      <w:pPr>
        <w:pStyle w:val="1"/>
      </w:pPr>
      <w:r w:rsidRPr="006A48A8">
        <w:rPr>
          <w:rFonts w:hint="eastAsia"/>
        </w:rPr>
        <w:t>日照市实施信用风险分类管理推动特种设备安全监管实现“三提升”</w:t>
      </w:r>
    </w:p>
    <w:p w:rsidR="00D167F2" w:rsidRDefault="00D167F2" w:rsidP="00D167F2">
      <w:pPr>
        <w:ind w:firstLineChars="200" w:firstLine="420"/>
      </w:pPr>
      <w:r>
        <w:rPr>
          <w:rFonts w:hint="eastAsia"/>
        </w:rPr>
        <w:t>近年来，日照市根据“精准监管、源头管控、综合治理、失信惩戒”的原则，将信用监管、法治监管、智慧监管一体推进，依托日照市场监管智慧监管平台，构建特种设备信用风险等级模型，建立特种设备信用风险评级模型数据库，实施信用风险分类管理，有效提升了特种设备安全监管精准度、效能度和助企便捷度，营造了对诚信守法者“无事不扰”、对违法失信者“利剑高悬”的良好氛围。</w:t>
      </w:r>
    </w:p>
    <w:p w:rsidR="00D167F2" w:rsidRDefault="00D167F2" w:rsidP="00D167F2">
      <w:pPr>
        <w:ind w:firstLineChars="200" w:firstLine="420"/>
      </w:pPr>
      <w:r>
        <w:rPr>
          <w:rFonts w:hint="eastAsia"/>
        </w:rPr>
        <w:t>一、实行安全信用风险分类，提升监管精准度</w:t>
      </w:r>
    </w:p>
    <w:p w:rsidR="00D167F2" w:rsidRDefault="00D167F2" w:rsidP="00D167F2">
      <w:pPr>
        <w:ind w:firstLineChars="200" w:firstLine="420"/>
      </w:pPr>
      <w:r>
        <w:rPr>
          <w:rFonts w:hint="eastAsia"/>
        </w:rPr>
        <w:t>以通用型企业信用风险分类指标体系为基础，综合吸收特种设备安全生产管理、作业人员安全素质、安全风险管控和隐患排查治理、设备安全运行和使用场所、特种设备安全检查、特种设备安全立案处罚等特征性指标，建立特种设备安全信用风险分类指标体系，设置评分标准，将特种设备安全信用风险等级划分为</w:t>
      </w:r>
      <w:r>
        <w:t>A</w:t>
      </w:r>
      <w:r>
        <w:t>、</w:t>
      </w:r>
      <w:r>
        <w:t>B</w:t>
      </w:r>
      <w:r>
        <w:t>、</w:t>
      </w:r>
      <w:r>
        <w:t>C</w:t>
      </w:r>
      <w:r>
        <w:t>、</w:t>
      </w:r>
      <w:r>
        <w:t>D</w:t>
      </w:r>
      <w:r>
        <w:t>四级，根据不同得分区间，风险分值越高，特种设备安全信用风险越高。依托</w:t>
      </w:r>
      <w:r>
        <w:t>“</w:t>
      </w:r>
      <w:r>
        <w:t>日照市场监管</w:t>
      </w:r>
      <w:r>
        <w:t>”</w:t>
      </w:r>
      <w:r>
        <w:t>智慧监管平台，落实特种设备安全检查</w:t>
      </w:r>
      <w:r>
        <w:t>“332211”</w:t>
      </w:r>
      <w:r>
        <w:t>工作法情况，即</w:t>
      </w:r>
      <w:r>
        <w:t>“</w:t>
      </w:r>
      <w:r>
        <w:t>三落实、三到位、双机制、两有证、一检验、一记录</w:t>
      </w:r>
      <w:r>
        <w:t>”</w:t>
      </w:r>
      <w:r>
        <w:t>，</w:t>
      </w:r>
      <w:r>
        <w:t>“</w:t>
      </w:r>
      <w:r>
        <w:t>三落实</w:t>
      </w:r>
      <w:r>
        <w:t>”</w:t>
      </w:r>
      <w:r>
        <w:t>是企业特种设</w:t>
      </w:r>
      <w:r>
        <w:rPr>
          <w:rFonts w:hint="eastAsia"/>
        </w:rPr>
        <w:t>备安全管理机构落实、责任人员落实、管理制度落实；“三到位”是企业特种设备应急预案到位、应急演练到位、安全教育培训到位；“双机制”是企业建立健全特种设备安全风险分级管控和隐患排查治理双重预防机制；“两有证”是企业在用特种设备有使用登记证、特种设备作业人员持证上岗；“一检验”是企业在用特种设备（含安全附件、安全防护计量器具、安全保护装置）全部检验检测合格，在有效期内使用；“一记录”是企业定期自行检查记录、日常使用状况记录、维护保养记录、试运行和例行安全检查记录以及特种设备的运行故障和事故记录齐全完整。在巡查过程中自动对评分项进行逐一标记，得出评分及评级结果，并对</w:t>
      </w:r>
      <w:r>
        <w:t>4</w:t>
      </w:r>
      <w:r>
        <w:t>个等级进行界定，推动监管关口前移，提升监管的精准性和靶向性。</w:t>
      </w:r>
    </w:p>
    <w:p w:rsidR="00D167F2" w:rsidRDefault="00D167F2" w:rsidP="00D167F2">
      <w:pPr>
        <w:ind w:firstLineChars="200" w:firstLine="420"/>
      </w:pPr>
      <w:r>
        <w:rPr>
          <w:rFonts w:hint="eastAsia"/>
        </w:rPr>
        <w:t>二、实施差异化分级监管，提升监管效能度</w:t>
      </w:r>
    </w:p>
    <w:p w:rsidR="00D167F2" w:rsidRDefault="00D167F2" w:rsidP="00D167F2">
      <w:pPr>
        <w:ind w:firstLineChars="200" w:firstLine="420"/>
      </w:pPr>
      <w:r>
        <w:rPr>
          <w:rFonts w:hint="eastAsia"/>
        </w:rPr>
        <w:t>依据安全信用风险分类结果，对特种设备企业实施差异化监管。差异化监管原则指“对</w:t>
      </w:r>
      <w:r>
        <w:t>A</w:t>
      </w:r>
      <w:r>
        <w:t>级企业监管以服务指导为主，适当减少检查频次，强化企业安全主体责任意识。对</w:t>
      </w:r>
      <w:r>
        <w:t>B</w:t>
      </w:r>
      <w:r>
        <w:t>级企业进行常态化监管，按计划实施常规检查。对</w:t>
      </w:r>
      <w:r>
        <w:t>C</w:t>
      </w:r>
      <w:r>
        <w:t>级企业进行重点监管，加大检查和巡查力度。对</w:t>
      </w:r>
      <w:r>
        <w:t>D</w:t>
      </w:r>
      <w:r>
        <w:t>级企业开展执法检查、严管严查，发现违法行为现场立即进行调查处理</w:t>
      </w:r>
      <w:r>
        <w:t>”</w:t>
      </w:r>
      <w:r>
        <w:t>。特种设备现场安全日常监督检查中重点突出对</w:t>
      </w:r>
      <w:r>
        <w:t>C</w:t>
      </w:r>
      <w:r>
        <w:t>级和</w:t>
      </w:r>
      <w:r>
        <w:t>D</w:t>
      </w:r>
      <w:r>
        <w:t>级的监管，重点对学校、幼儿园、养老院以及医院、车站、客运码头、商场、体育场馆、展览馆、公园等公众聚集场所的特种设备使用单位、近</w:t>
      </w:r>
      <w:r>
        <w:t>3</w:t>
      </w:r>
      <w:r>
        <w:t>年发生过特种设备事故的特种设</w:t>
      </w:r>
      <w:r>
        <w:rPr>
          <w:rFonts w:hint="eastAsia"/>
        </w:rPr>
        <w:t>备使用单位、市、县（区）监管部门认为有必要实施重点监督检查的特种设备使用单位进行监管，将有限的监管力量用到最易出现风险隐患的地方。如东港区某街道液化气站为气瓶充装单位，被列为重点监督检查单位，安全信用风险等级</w:t>
      </w:r>
      <w:r>
        <w:t>D</w:t>
      </w:r>
      <w:r>
        <w:t>，工作人员通过</w:t>
      </w:r>
      <w:r>
        <w:t>“</w:t>
      </w:r>
      <w:r>
        <w:t>日照市场监管</w:t>
      </w:r>
      <w:r>
        <w:t>”APP</w:t>
      </w:r>
      <w:r>
        <w:t>进行线上巡查时，发现该企业当日气瓶充装记录未上传，执法人员立即到现场进行执法检查，经查，该企业确实存在气瓶充装记录不完整情况，根据《中华人民共和国特种设备安全法》，处以</w:t>
      </w:r>
      <w:r>
        <w:t>3</w:t>
      </w:r>
      <w:r>
        <w:t>万元罚款。</w:t>
      </w:r>
    </w:p>
    <w:p w:rsidR="00D167F2" w:rsidRDefault="00D167F2" w:rsidP="00D167F2">
      <w:pPr>
        <w:ind w:firstLineChars="200" w:firstLine="420"/>
      </w:pPr>
      <w:r>
        <w:rPr>
          <w:rFonts w:hint="eastAsia"/>
        </w:rPr>
        <w:t>三、开展信用调整与修复，提升助企便捷度</w:t>
      </w:r>
    </w:p>
    <w:p w:rsidR="00D167F2" w:rsidRDefault="00D167F2" w:rsidP="00D167F2">
      <w:pPr>
        <w:ind w:firstLineChars="200" w:firstLine="420"/>
      </w:pPr>
      <w:r>
        <w:rPr>
          <w:rFonts w:hint="eastAsia"/>
        </w:rPr>
        <w:t>安全信用风险等级实行自动分级制度，系统根据特种设备日常监督检查情况和企业安全风险管控和隐患排查治理情况等，结合特种设备安全检查“</w:t>
      </w:r>
      <w:r>
        <w:t>332211</w:t>
      </w:r>
      <w:r>
        <w:t>工作法</w:t>
      </w:r>
      <w:r>
        <w:t>”</w:t>
      </w:r>
      <w:r>
        <w:t>，系统自动上调或下调安全信用风险等级。原则上</w:t>
      </w:r>
      <w:r>
        <w:t>C</w:t>
      </w:r>
      <w:r>
        <w:t>、</w:t>
      </w:r>
      <w:r>
        <w:t>D</w:t>
      </w:r>
      <w:r>
        <w:t>级一年内不得调整至</w:t>
      </w:r>
      <w:r>
        <w:t>A</w:t>
      </w:r>
      <w:r>
        <w:t>级。发生过特种设备安全事故的，三年内不得调整信用风险等级。对安全生产管理水平较高，连续三年以上未发生特种设备安全事故，企业主体责任落实到位，对发现的问题及隐患立即进行整改完善的，应积极开展信用修复，降低企业自身失信风险。同时依托信用风险分级管理模式，探索实施</w:t>
      </w:r>
      <w:r>
        <w:t>“</w:t>
      </w:r>
      <w:r>
        <w:t>沙盒监管</w:t>
      </w:r>
      <w:r>
        <w:t>”</w:t>
      </w:r>
      <w:r>
        <w:t>方式，结合信用风险变化动</w:t>
      </w:r>
      <w:r>
        <w:rPr>
          <w:rFonts w:hint="eastAsia"/>
        </w:rPr>
        <w:t>态调整监管措施。推行“包容审慎”</w:t>
      </w:r>
      <w:r>
        <w:t>+</w:t>
      </w:r>
      <w:r>
        <w:t>免予处罚、应当从轻或减轻处罚、可以从轻或减轻处罚</w:t>
      </w:r>
      <w:r>
        <w:t>“</w:t>
      </w:r>
      <w:r>
        <w:t>三张清单</w:t>
      </w:r>
      <w:r>
        <w:t>”</w:t>
      </w:r>
      <w:r>
        <w:t>监管模式，建立</w:t>
      </w:r>
      <w:r>
        <w:t>“</w:t>
      </w:r>
      <w:r>
        <w:t>容错</w:t>
      </w:r>
      <w:r>
        <w:t>”“</w:t>
      </w:r>
      <w:r>
        <w:t>纠错</w:t>
      </w:r>
      <w:r>
        <w:t>”</w:t>
      </w:r>
      <w:r>
        <w:t>机制，合理设置</w:t>
      </w:r>
      <w:r>
        <w:t>“</w:t>
      </w:r>
      <w:r>
        <w:t>包容期</w:t>
      </w:r>
      <w:r>
        <w:t>”</w:t>
      </w:r>
      <w:r>
        <w:t>，采取预警提示、行政指导、行政约谈、责令改正等柔性执法措施，既保持打击</w:t>
      </w:r>
      <w:r>
        <w:t>“</w:t>
      </w:r>
      <w:r>
        <w:t>力度</w:t>
      </w:r>
      <w:r>
        <w:t>”</w:t>
      </w:r>
      <w:r>
        <w:t>，又体现执法</w:t>
      </w:r>
      <w:r>
        <w:t>“</w:t>
      </w:r>
      <w:r>
        <w:t>温度</w:t>
      </w:r>
      <w:r>
        <w:t>”</w:t>
      </w:r>
      <w:r>
        <w:t>，指导帮助市场主体自我整改、诚信经营。</w:t>
      </w:r>
    </w:p>
    <w:p w:rsidR="00D167F2" w:rsidRDefault="00D167F2" w:rsidP="00D167F2">
      <w:pPr>
        <w:ind w:firstLineChars="200" w:firstLine="420"/>
      </w:pPr>
      <w:r>
        <w:rPr>
          <w:rFonts w:hint="eastAsia"/>
        </w:rPr>
        <w:t>通过运用信用风险分类监管和智慧监管手段，实现了特种设备特种设备“四个转变”，解决了在基层市场监管工作领域的“四个矛盾”。一是变“事后”为“事前”，解决隐患发现不及时的问题。根据市场主体风险等级，绘制不同等级风险分析电子图，实现风险预警“一图可知”，依据风险等级确定检查频次及方式，实现对特种设备企业风险状况的自动分类、动态更新，精准实施差异化、预防性监管，解决了隐患发现不及时的问题。二是变“被动”为“主动”，解决市场主体主体责任不落实的问题。监管人员通过监管平台远程发布自查任务，市场主体工作人员通过移动企业端</w:t>
      </w:r>
      <w:r>
        <w:t>APP“</w:t>
      </w:r>
      <w:r>
        <w:t>五定</w:t>
      </w:r>
      <w:r>
        <w:t>”</w:t>
      </w:r>
      <w:r>
        <w:t>（定时、定位、定人、定景、定事）进行自查自纠，平台自动将自查结果同步到数据云，无法篡改，让自查全面透明、确保真实整改到位。通过日查、周检、月调度，督促企业养成自查自纠的良好习惯，实现</w:t>
      </w:r>
      <w:r>
        <w:t>“</w:t>
      </w:r>
      <w:r>
        <w:t>自查</w:t>
      </w:r>
      <w:r>
        <w:t>”</w:t>
      </w:r>
      <w:r>
        <w:t>等于</w:t>
      </w:r>
      <w:r>
        <w:t>“</w:t>
      </w:r>
      <w:r>
        <w:t>检查</w:t>
      </w:r>
      <w:r>
        <w:t>”</w:t>
      </w:r>
      <w:r>
        <w:t>，有效增强企业的主体责任意识。三是变</w:t>
      </w:r>
      <w:r>
        <w:t>“</w:t>
      </w:r>
      <w:r>
        <w:t>人防</w:t>
      </w:r>
      <w:r>
        <w:t>”</w:t>
      </w:r>
      <w:r>
        <w:t>为</w:t>
      </w:r>
      <w:r>
        <w:t>“</w:t>
      </w:r>
      <w:r>
        <w:t>技防</w:t>
      </w:r>
      <w:r>
        <w:t>”</w:t>
      </w:r>
      <w:r>
        <w:t>，解决了监管覆盖不到位的问题。依托智慧监管平台，部署覆盖市、区（县）、乡镇（街道）三级市场监管部门网络系统，对重点市场主体的地理位置进行核对，绘制市场主体分布地图，精准定位设备，快速锁定问题。通过</w:t>
      </w:r>
      <w:r>
        <w:t>“</w:t>
      </w:r>
      <w:r>
        <w:t>日照市场监管</w:t>
      </w:r>
      <w:r>
        <w:t>”</w:t>
      </w:r>
      <w:r>
        <w:t>，将市场监管工作的信息化、责任</w:t>
      </w:r>
      <w:r>
        <w:rPr>
          <w:rFonts w:hint="eastAsia"/>
        </w:rPr>
        <w:t>化、规范化和网格化有效融合，以“区域清、职责清、底数清和服务到位、监管到位、互通到位”三清三到位为目标，划分监管网格，实现特种设备全覆盖、无缝隙监管。四是变“少数监管多数”为“多数监管少数”，解决社会监督作用不明显的问题。一方面，群众只需扫描在各类市场主体张贴的“一企一码”和“风险防控码”，就可以查看特种设备信用风险信息并进行公开评价；另一方面，充分发挥行业协会对会员单位的约束作用，提高遵规守法的意识，主动解决好群众反映的问题。改变过去市场主体责任不落实的监管难点和痛点，发挥社会共治力量，变少数监管多数为大众监督少数，发挥“一处失信、处处受限”的信用监督、警示和惩戒作用，推动市场监管社会共治格局的形成。</w:t>
      </w:r>
    </w:p>
    <w:p w:rsidR="00D167F2" w:rsidRPr="006A48A8" w:rsidRDefault="00D167F2" w:rsidP="006A48A8">
      <w:pPr>
        <w:jc w:val="right"/>
      </w:pPr>
      <w:r w:rsidRPr="006A48A8">
        <w:rPr>
          <w:rFonts w:hint="eastAsia"/>
        </w:rPr>
        <w:t>日照</w:t>
      </w:r>
      <w:r>
        <w:rPr>
          <w:rFonts w:hint="eastAsia"/>
        </w:rPr>
        <w:t>网</w:t>
      </w:r>
      <w:r>
        <w:rPr>
          <w:rFonts w:hint="eastAsia"/>
        </w:rPr>
        <w:t>2023-7-4</w:t>
      </w:r>
    </w:p>
    <w:p w:rsidR="00D167F2" w:rsidRDefault="00D167F2" w:rsidP="007D5155">
      <w:pPr>
        <w:sectPr w:rsidR="00D167F2" w:rsidSect="007D5155">
          <w:type w:val="continuous"/>
          <w:pgSz w:w="11906" w:h="16838"/>
          <w:pgMar w:top="1644" w:right="1236" w:bottom="1418" w:left="1814" w:header="851" w:footer="907" w:gutter="0"/>
          <w:pgNumType w:start="1"/>
          <w:cols w:space="720"/>
          <w:docGrid w:type="lines" w:linePitch="341" w:charSpace="2373"/>
        </w:sectPr>
      </w:pPr>
    </w:p>
    <w:p w:rsidR="007D6FDE" w:rsidRDefault="007D6FDE"/>
    <w:sectPr w:rsidR="007D6FD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167F2"/>
    <w:rsid w:val="007D6FDE"/>
    <w:rsid w:val="00D167F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167F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167F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378</Words>
  <Characters>2160</Characters>
  <Application>Microsoft Office Word</Application>
  <DocSecurity>0</DocSecurity>
  <Lines>18</Lines>
  <Paragraphs>5</Paragraphs>
  <ScaleCrop>false</ScaleCrop>
  <Company>Microsoft</Company>
  <LinksUpToDate>false</LinksUpToDate>
  <CharactersWithSpaces>2533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2023-07-07T01:26:00Z</dcterms:created>
</cp:coreProperties>
</file>