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0DD8" w:rsidRPr="00EA5C24" w:rsidRDefault="00D80DD8" w:rsidP="00EA5C24">
      <w:pPr>
        <w:pStyle w:val="1"/>
        <w:spacing w:line="245" w:lineRule="auto"/>
      </w:pPr>
      <w:r w:rsidRPr="00EA5C24">
        <w:rPr>
          <w:rFonts w:hint="eastAsia"/>
        </w:rPr>
        <w:t>荔湾以科技创新激活高质量发展内生动力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 w:rsidRPr="00C96AE3">
        <w:rPr>
          <w:rFonts w:hint="eastAsia"/>
        </w:rPr>
        <w:t>出台扶持政策、提供金融服务、打造产业中心</w:t>
      </w:r>
      <w:r w:rsidRPr="00C96AE3">
        <w:t xml:space="preserve"> </w:t>
      </w:r>
      <w:r w:rsidRPr="00C96AE3">
        <w:t>荔湾以科技创新激活高质量发展内生动力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荔湾区科工信局紧紧围绕省、市关于广州市建设国家创新中心和国际科技创新枢纽的工作部署，贯彻落实荔湾区委、区政府“一个定位、两大引擎、三大平台”发展思路，遵循区明确的“激活高质量发展新动能，大力发展以现代都市工业为重点、生产性服务业和商贸业共同发展的实体经济”的产业发展主线，加强培育企业的创新主动性，发挥科技金融的辅助力，推进科创平台的快速发展。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优化创新生态政策“组合拳”接连“上新”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现代都市工业企业奖励金额最高可达</w:t>
      </w:r>
      <w:r>
        <w:t>2000</w:t>
      </w:r>
      <w:r>
        <w:t>万元；产业杰出团队最高可获</w:t>
      </w:r>
      <w:r>
        <w:t>300</w:t>
      </w:r>
      <w:r>
        <w:t>万元的项目扶持资金；新型研发机构建设补助最高达</w:t>
      </w:r>
      <w:r>
        <w:t>2000</w:t>
      </w:r>
      <w:r>
        <w:t>万元</w:t>
      </w:r>
      <w:r>
        <w:t>……</w:t>
      </w:r>
      <w:r>
        <w:t>今年以来，荔湾区科工信局接连出台科技创新、工业高质量发展、促进中小企业发展、产业领军人才等政策</w:t>
      </w:r>
      <w:r>
        <w:t>“</w:t>
      </w:r>
      <w:r>
        <w:t>组合拳</w:t>
      </w:r>
      <w:r>
        <w:t>”</w:t>
      </w:r>
      <w:r>
        <w:t>，助力引入和扶持</w:t>
      </w:r>
      <w:r>
        <w:t>“</w:t>
      </w:r>
      <w:r>
        <w:t>专精特新</w:t>
      </w:r>
      <w:r>
        <w:t>”</w:t>
      </w:r>
      <w:r>
        <w:t>小巨人、</w:t>
      </w:r>
      <w:r>
        <w:t>“</w:t>
      </w:r>
      <w:r>
        <w:t>高精尖</w:t>
      </w:r>
      <w:r>
        <w:t>”</w:t>
      </w:r>
      <w:r>
        <w:t>、</w:t>
      </w:r>
      <w:r>
        <w:t>“</w:t>
      </w:r>
      <w:r>
        <w:t>制造业骨干</w:t>
      </w:r>
      <w:r>
        <w:t>”</w:t>
      </w:r>
      <w:r>
        <w:t>等企业，进一步提高企业自主创新能力，激发企业创新动力，加速企业做大做强。荔湾区还做好惠企助企工作，充分发挥科技奖补资金的促进作用，结合学校建设、教育品质提升和基层医院建设需求，继续支持教育和卫生领域开展科技创</w:t>
      </w:r>
      <w:r>
        <w:rPr>
          <w:rFonts w:hint="eastAsia"/>
        </w:rPr>
        <w:t>新。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此外，荔湾区进一步发挥新三板华南基地服务功能，大力推动产业链、创新链、资金链的融合，为科技创新企业发展提供全流程多样化的金融服务。其中，航桥国际已于</w:t>
      </w:r>
      <w:r>
        <w:t>2022</w:t>
      </w:r>
      <w:r>
        <w:t>年</w:t>
      </w:r>
      <w:r>
        <w:t>5</w:t>
      </w:r>
      <w:r>
        <w:t>月进入创新层；海森环保已完成定增拟进入创新层；新之地环保、云曌医疗等企业计划启动挂牌工作。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鼓励科技创新提升企业创新自主动能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记者日前走进广东汉潮中药科技有限公司实验室，看到数名研究人员正在进行调试研究。汉潮公司负责人表示，科研平台建设是推动科技工作高质量发展的重要一环，为此，荔湾区近年来出台多项政策制度，有助加强科技创新、提高研究效率、拓展研究领域、提高学术交流、促进人才培养。广东汉潮中药科技有限公司被认定为“广东省传统中药创新中心”的实施主体单位，离不开荔湾区对科研工作的支持。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近年来，荔湾区大力推动科研平台建设，争取获得突破。扎实推进采芝林高水平中药新型研发机构培育建设工作，争取</w:t>
      </w:r>
      <w:r>
        <w:t>2023</w:t>
      </w:r>
      <w:r>
        <w:t>年认定为省级新型研发机构。</w:t>
      </w:r>
      <w:r>
        <w:t>2022</w:t>
      </w:r>
      <w:r>
        <w:t>年广东汉潮中药科技有限公司、广州花卉研究中心</w:t>
      </w:r>
      <w:r>
        <w:t>2</w:t>
      </w:r>
      <w:r>
        <w:t>家单位被认定为区级新型研发机构，后续将积极向建设省级新型研发机构靠拢。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活用科创空间打造产业科技创新中心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日前，侨银股份乔迁仪式在荔湾海龙围科创区举办，成为海龙围科创区首家入驻的头部上市企业总部。作为荔湾区“三大平台”建设的重要一环，海龙围科创区是荔湾区科技创新主阵地和产业升级主战场。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去年以来，荔湾区科工信局加快科技创新载体建设。在海龙围科创区引进科技创新龙头企业，打造战略性新兴产业集聚区。除侨银总部大厦以外，大参林运营中心、大翔创新大厦、绿瘦科技园等项目也在稳步推进。白鹅潭商务区建设方面，广州国际医药港首期广州国际医药展贸中心项目已投入运营，国家呼吸医学中心（广东）落户大坦沙，聚龙湾商业体综合体项目、广船一期、白鹅潭国际金融中心、万象城等产业载体建设有序推进中。老旧物业提质增效方面，荔湾区选定金花街奥宝汇创意园、</w:t>
      </w:r>
      <w:r>
        <w:t>1906</w:t>
      </w:r>
      <w:r>
        <w:t>科技园作为</w:t>
      </w:r>
      <w:r>
        <w:t>2023</w:t>
      </w:r>
      <w:r>
        <w:t>年上半年提质增效试点项目，优化提升面积合计</w:t>
      </w:r>
      <w:r>
        <w:t>8.1</w:t>
      </w:r>
      <w:r>
        <w:t>万平方米，为科技创新提供更丰富的载体。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为提升产业集聚能力和产业竞争力，荔湾区积极推动重点园区产业导入。通过推进</w:t>
      </w:r>
      <w:r>
        <w:t>1906</w:t>
      </w:r>
      <w:r>
        <w:t>科技园升级改造，引入扬韬科技（广州）有限公司及其合作伙伴芯讯通、龙尚科技、新田科技和艾拉物联国际总部等项目，进一步优化园区产业结构；支持</w:t>
      </w:r>
      <w:r>
        <w:t>TCL</w:t>
      </w:r>
      <w:r>
        <w:t>云峰科技园以数字经济、网络科技、数字文化创意等企业，打造数字特色产业园区。协助云酷科创大厦（原北斗科技产业园）洽谈引入以先进制造业为主的高科技企业，建设广州新能源先进制造科创中心，设立院士工作站，搭建高端科研技术、学术交流、政企交流的综合性平台。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发挥科技服务机构作用助力企业转型升级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今年，荔湾区积极推动“一区一机构”支撑发展服务机制，发挥专业科技服务支持企业发展的积极作用，助力荔湾高新技术企业、科技型中小企业高质量发展。“一个地区当年的高新技术企业的数量以及研究开发费用投入的比例，代表着这个地区未来五年的发展潜力。”广州市粤政索顿信息科技有限公司执行董事陈秀表示，作为荔湾区“一区一机构”所遴选出来的支撑机构，他们希望发挥专业科技服务机构的优势，协助政府引导企业转型升级，推动区内科技企业高速发展。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除了高新技术企业、科技型中小企业“一区一机构”外，荔湾区还遴选出广州市荔湾区中小微企业服务中心、广州生产力促进中心有限公司成为区研发经费归集和科技服务业“一区一机构”。同时市科技局还认定了荔仕丰等</w:t>
      </w:r>
      <w:r>
        <w:t>4</w:t>
      </w:r>
      <w:r>
        <w:t>家科技中介服务机构为区高企服务工作站；荔湾区中小微企业服务中心为区科技型中小企业专业科技服务机构。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记者观察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科技创新为地区高质量发展“赋能”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t>2020</w:t>
      </w:r>
      <w:r>
        <w:t>年</w:t>
      </w:r>
      <w:r>
        <w:t>12</w:t>
      </w:r>
      <w:r>
        <w:t>月成立，</w:t>
      </w:r>
      <w:r>
        <w:t>2021</w:t>
      </w:r>
      <w:r>
        <w:t>年销售突破</w:t>
      </w:r>
      <w:r>
        <w:t>500</w:t>
      </w:r>
      <w:r>
        <w:t>万元，</w:t>
      </w:r>
      <w:r>
        <w:t>2022</w:t>
      </w:r>
      <w:r>
        <w:t>年销售突破</w:t>
      </w:r>
      <w:r>
        <w:t>2000</w:t>
      </w:r>
      <w:r>
        <w:t>万元</w:t>
      </w:r>
      <w:r>
        <w:t>……</w:t>
      </w:r>
      <w:r>
        <w:t>在荔湾诞生的汉潮中药，短短两年间便实现跨越式发展。今天的荔湾，科技创新事业正大有可为。让科技创新为高质量发展赋能，势必会让荔湾经济发展之路更加宽阔、畅通。未来，围绕</w:t>
      </w:r>
      <w:r>
        <w:t>“</w:t>
      </w:r>
      <w:r>
        <w:t>一带两区</w:t>
      </w:r>
      <w:r>
        <w:t>”</w:t>
      </w:r>
      <w:r>
        <w:t>战略布局，荔湾将聚焦五大工程，以创新引领打造</w:t>
      </w:r>
      <w:r>
        <w:t>“</w:t>
      </w:r>
      <w:r>
        <w:t>硅巷创新社区</w:t>
      </w:r>
      <w:r>
        <w:t>”</w:t>
      </w:r>
      <w:r>
        <w:t>。</w:t>
      </w:r>
    </w:p>
    <w:p w:rsidR="00D80DD8" w:rsidRDefault="00D80DD8" w:rsidP="00D80DD8">
      <w:pPr>
        <w:spacing w:line="245" w:lineRule="auto"/>
        <w:ind w:firstLineChars="200" w:firstLine="420"/>
        <w:jc w:val="left"/>
      </w:pPr>
      <w:r>
        <w:rPr>
          <w:rFonts w:hint="eastAsia"/>
        </w:rPr>
        <w:t>两年多来，荔湾区深入实施创新驱动发展战略，推动科技创新引领发展，成绩喜人。</w:t>
      </w:r>
      <w:r>
        <w:t>2022</w:t>
      </w:r>
      <w:r>
        <w:t>年，荔湾区通过国家高新技术企业认定</w:t>
      </w:r>
      <w:r>
        <w:t>104</w:t>
      </w:r>
      <w:r>
        <w:t>家，增长</w:t>
      </w:r>
      <w:r>
        <w:t>17%</w:t>
      </w:r>
      <w:r>
        <w:t>，入库国家科技型中小企业</w:t>
      </w:r>
      <w:r>
        <w:t>475</w:t>
      </w:r>
      <w:r>
        <w:t>家，增长</w:t>
      </w:r>
      <w:r>
        <w:t>33.4%</w:t>
      </w:r>
      <w:r>
        <w:t>。全区</w:t>
      </w:r>
      <w:r>
        <w:t>R&amp;D</w:t>
      </w:r>
      <w:r>
        <w:t>研发费投入共</w:t>
      </w:r>
      <w:r>
        <w:t>13.01</w:t>
      </w:r>
      <w:r>
        <w:t>亿元，占</w:t>
      </w:r>
      <w:r>
        <w:t>GDP</w:t>
      </w:r>
      <w:r>
        <w:t>的比重为</w:t>
      </w:r>
      <w:r>
        <w:t>1.1%</w:t>
      </w:r>
      <w:r>
        <w:t>。全区专利授权量</w:t>
      </w:r>
      <w:r>
        <w:t>3876</w:t>
      </w:r>
      <w:r>
        <w:t>件，其中发明专利授权数量</w:t>
      </w:r>
      <w:r>
        <w:t>302</w:t>
      </w:r>
      <w:r>
        <w:t>件。育苗行动取得突破，全年认定省级</w:t>
      </w:r>
      <w:r>
        <w:t>“</w:t>
      </w:r>
      <w:r>
        <w:t>专精特新</w:t>
      </w:r>
      <w:r>
        <w:t>”</w:t>
      </w:r>
      <w:r>
        <w:t>企业</w:t>
      </w:r>
      <w:r>
        <w:t>76</w:t>
      </w:r>
      <w:r>
        <w:t>家。软件信息服务业、科技成果转化服务等新兴产业蓬勃向上，分别增长</w:t>
      </w:r>
      <w:r>
        <w:t>100.5%</w:t>
      </w:r>
      <w:r>
        <w:t>、</w:t>
      </w:r>
      <w:r>
        <w:t>69.4%</w:t>
      </w:r>
      <w:r>
        <w:t>。</w:t>
      </w:r>
    </w:p>
    <w:p w:rsidR="00D80DD8" w:rsidRDefault="00D80DD8" w:rsidP="00D80DD8">
      <w:pPr>
        <w:spacing w:line="245" w:lineRule="auto"/>
        <w:ind w:firstLineChars="200" w:firstLine="420"/>
        <w:jc w:val="right"/>
      </w:pPr>
      <w:r w:rsidRPr="00C96AE3">
        <w:rPr>
          <w:rFonts w:hint="eastAsia"/>
        </w:rPr>
        <w:t>信息时报</w:t>
      </w:r>
      <w:r>
        <w:rPr>
          <w:rFonts w:hint="eastAsia"/>
        </w:rPr>
        <w:t>2023-06-26</w:t>
      </w:r>
    </w:p>
    <w:p w:rsidR="00D80DD8" w:rsidRDefault="00D80DD8" w:rsidP="000D2310">
      <w:pPr>
        <w:sectPr w:rsidR="00D80DD8" w:rsidSect="000D2310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83206D" w:rsidRDefault="0083206D"/>
    <w:sectPr w:rsidR="008320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D80DD8"/>
    <w:rsid w:val="0083206D"/>
    <w:rsid w:val="00D80D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D80DD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D80DD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357</Words>
  <Characters>2036</Characters>
  <Application>Microsoft Office Word</Application>
  <DocSecurity>0</DocSecurity>
  <Lines>16</Lines>
  <Paragraphs>4</Paragraphs>
  <ScaleCrop>false</ScaleCrop>
  <Company>Microsoft</Company>
  <LinksUpToDate>false</LinksUpToDate>
  <CharactersWithSpaces>2389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2023-07-18T08:07:00Z</dcterms:created>
</cp:coreProperties>
</file>