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696" w:rsidRDefault="00016696" w:rsidP="00EC22BC">
      <w:pPr>
        <w:pStyle w:val="1"/>
      </w:pPr>
      <w:r w:rsidRPr="00EC22BC">
        <w:rPr>
          <w:rFonts w:hint="eastAsia"/>
        </w:rPr>
        <w:t>平湖交通</w:t>
      </w:r>
      <w:r w:rsidRPr="00EC22BC">
        <w:t>2023年上半年工作回顾</w:t>
      </w:r>
      <w:r w:rsidRPr="00EC22BC">
        <w:t>——</w:t>
      </w:r>
      <w:r w:rsidRPr="00EC22BC">
        <w:t>数智交通篇</w:t>
      </w:r>
    </w:p>
    <w:p w:rsidR="00016696" w:rsidRDefault="00016696" w:rsidP="00016696">
      <w:pPr>
        <w:ind w:firstLineChars="200" w:firstLine="420"/>
      </w:pPr>
      <w:r>
        <w:rPr>
          <w:rFonts w:hint="eastAsia"/>
        </w:rPr>
        <w:t>“十四五”时期，我国数字经济转向深化应用、规范发展、普惠共享的新阶段。交通作为经济社会发展的重要领域、民生改善的先行官，推动其智慧化发展，是构筑美好数字服务新场景的应有之义。平湖市交通运输局充分利用数字化创新技术为路政管理、内河航运赋能，并以“数字路政”为基础，推动长三角一体化毗邻协同执法。创新开展货运物流行业全链式集成改革，整治货运物流行业低小散，培育规上企业，探索数字化管理模式。</w:t>
      </w:r>
    </w:p>
    <w:p w:rsidR="00016696" w:rsidRDefault="00016696" w:rsidP="00016696">
      <w:pPr>
        <w:ind w:firstLineChars="200" w:firstLine="420"/>
      </w:pPr>
      <w:r>
        <w:rPr>
          <w:rFonts w:hint="eastAsia"/>
        </w:rPr>
        <w:t>数字路政</w:t>
      </w:r>
    </w:p>
    <w:p w:rsidR="00016696" w:rsidRDefault="00016696" w:rsidP="00016696">
      <w:pPr>
        <w:ind w:firstLineChars="200" w:firstLine="420"/>
      </w:pPr>
      <w:r>
        <w:t>2022</w:t>
      </w:r>
      <w:r>
        <w:t>年</w:t>
      </w:r>
      <w:r>
        <w:t>3</w:t>
      </w:r>
      <w:r>
        <w:t>月平湖被省厅确定为数字路政试点单位，重点围绕路权侵占侵害防御、聚焦超限超载运输治理、关注路域环境三化整治、重塑公路综合巡查机制，全面建设路政安全执法过程中</w:t>
      </w:r>
      <w:r>
        <w:t>“</w:t>
      </w:r>
      <w:r>
        <w:t>数据智享、预警智判、业务智管、流程智控</w:t>
      </w:r>
      <w:r>
        <w:t>”</w:t>
      </w:r>
      <w:r>
        <w:t>的一体化治理模式。截至</w:t>
      </w:r>
      <w:r>
        <w:t>6</w:t>
      </w:r>
      <w:r>
        <w:t>月</w:t>
      </w:r>
      <w:r>
        <w:t>30</w:t>
      </w:r>
      <w:r>
        <w:t>日，汇聚公路资产数据</w:t>
      </w:r>
      <w:r>
        <w:t>1</w:t>
      </w:r>
      <w:r>
        <w:t>万余条，路政业务处置</w:t>
      </w:r>
      <w:r>
        <w:t>1.15</w:t>
      </w:r>
      <w:r>
        <w:t>万余次。完成对平湖的国省县道红线遥感影像数据</w:t>
      </w:r>
      <w:r>
        <w:t>2</w:t>
      </w:r>
      <w:r>
        <w:t>次对比分析，累计发现疑似违章建筑</w:t>
      </w:r>
      <w:r>
        <w:t>37</w:t>
      </w:r>
      <w:r>
        <w:t>处，完成覆盖</w:t>
      </w:r>
      <w:r>
        <w:t>2</w:t>
      </w:r>
      <w:r>
        <w:t>条路线的智能巡检</w:t>
      </w:r>
      <w:r>
        <w:t>11</w:t>
      </w:r>
      <w:r>
        <w:t>万余次；开展日常巡查</w:t>
      </w:r>
      <w:r>
        <w:t>950</w:t>
      </w:r>
      <w:r>
        <w:t>余人次，完成事件整改</w:t>
      </w:r>
      <w:r>
        <w:t>400</w:t>
      </w:r>
      <w:r>
        <w:t>余件；建立</w:t>
      </w:r>
      <w:r>
        <w:t>10</w:t>
      </w:r>
      <w:r>
        <w:t>座重点桥梁档案码，并完成重点桥梁打卡</w:t>
      </w:r>
      <w:r>
        <w:t>194</w:t>
      </w:r>
      <w:r>
        <w:rPr>
          <w:rFonts w:hint="eastAsia"/>
        </w:rPr>
        <w:t>次，整治其他风险隐患</w:t>
      </w:r>
      <w:r>
        <w:t>69</w:t>
      </w:r>
      <w:r>
        <w:t>处。</w:t>
      </w:r>
      <w:r>
        <w:t>6</w:t>
      </w:r>
      <w:r>
        <w:t>月份超限率</w:t>
      </w:r>
      <w:r>
        <w:t>0.41%</w:t>
      </w:r>
      <w:r>
        <w:t>，已接入</w:t>
      </w:r>
      <w:r>
        <w:t>1</w:t>
      </w:r>
      <w:r>
        <w:t>个超限检测站，</w:t>
      </w:r>
      <w:r>
        <w:t>12</w:t>
      </w:r>
      <w:r>
        <w:t>个非现场点位，</w:t>
      </w:r>
      <w:r>
        <w:t>5</w:t>
      </w:r>
      <w:r>
        <w:t>家重点货运源头单位，超限超载预警</w:t>
      </w:r>
      <w:r>
        <w:t>8376</w:t>
      </w:r>
      <w:r>
        <w:t>次；开展布控稽查</w:t>
      </w:r>
      <w:r>
        <w:t>67</w:t>
      </w:r>
      <w:r>
        <w:t>次，案件结案</w:t>
      </w:r>
      <w:r>
        <w:t>1081</w:t>
      </w:r>
      <w:r>
        <w:t>个。开展综合巡查</w:t>
      </w:r>
      <w:r>
        <w:t>958</w:t>
      </w:r>
      <w:r>
        <w:t>次，上报事件</w:t>
      </w:r>
      <w:r>
        <w:t>405</w:t>
      </w:r>
      <w:r>
        <w:t>个，开展联动协同指派处置</w:t>
      </w:r>
      <w:r>
        <w:t>89</w:t>
      </w:r>
      <w:r>
        <w:t>次，形成闭环</w:t>
      </w:r>
      <w:r>
        <w:t>370</w:t>
      </w:r>
      <w:r>
        <w:t>次，闭环率</w:t>
      </w:r>
      <w:r>
        <w:t>91.36%</w:t>
      </w:r>
      <w:r>
        <w:t>，释放人力资源</w:t>
      </w:r>
      <w:r>
        <w:t>69%</w:t>
      </w:r>
      <w:r>
        <w:t>。</w:t>
      </w:r>
      <w:r>
        <w:t xml:space="preserve"> </w:t>
      </w:r>
    </w:p>
    <w:p w:rsidR="00016696" w:rsidRDefault="00016696" w:rsidP="00016696">
      <w:pPr>
        <w:ind w:firstLineChars="200" w:firstLine="420"/>
      </w:pPr>
      <w:r>
        <w:rPr>
          <w:rFonts w:hint="eastAsia"/>
        </w:rPr>
        <w:t>数字港航</w:t>
      </w:r>
    </w:p>
    <w:p w:rsidR="00016696" w:rsidRDefault="00016696" w:rsidP="00016696">
      <w:pPr>
        <w:ind w:firstLineChars="200" w:firstLine="420"/>
      </w:pPr>
      <w:r>
        <w:rPr>
          <w:rFonts w:hint="eastAsia"/>
        </w:rPr>
        <w:t>作为内河航运智控平台的重要组成部分，污染物全链条管控场景“浙船</w:t>
      </w:r>
      <w:r>
        <w:t>E</w:t>
      </w:r>
      <w:r>
        <w:t>行</w:t>
      </w:r>
      <w:r>
        <w:t>”</w:t>
      </w:r>
      <w:r>
        <w:t>在平湖开展试点工作以来，污染物接收量、系统使用率均大幅提升。</w:t>
      </w:r>
      <w:r>
        <w:t>1-6</w:t>
      </w:r>
      <w:r>
        <w:t>月，辖区内河码头及第三方接收单位累计接收船舶污染物</w:t>
      </w:r>
      <w:r>
        <w:t>7071</w:t>
      </w:r>
      <w:r>
        <w:t>艘次，共计</w:t>
      </w:r>
      <w:r>
        <w:t>429.66</w:t>
      </w:r>
      <w:r>
        <w:t>吨，同比去年同期增长</w:t>
      </w:r>
      <w:r>
        <w:t>50.23%</w:t>
      </w:r>
      <w:r>
        <w:t>（扣除去年异常数据）。</w:t>
      </w:r>
      <w:r>
        <w:t>6</w:t>
      </w:r>
      <w:r>
        <w:t>月底，浙船</w:t>
      </w:r>
      <w:r>
        <w:t>E</w:t>
      </w:r>
      <w:r>
        <w:t>行占部局系统数据的比重已持续稳定在</w:t>
      </w:r>
      <w:r>
        <w:t>70%</w:t>
      </w:r>
      <w:r>
        <w:t>左右，并在上阶段统计中一度达到</w:t>
      </w:r>
      <w:r>
        <w:t>84.1%</w:t>
      </w:r>
      <w:r>
        <w:t>，成功突破试点既定的</w:t>
      </w:r>
      <w:r>
        <w:t>80%</w:t>
      </w:r>
      <w:r>
        <w:t>目标。</w:t>
      </w:r>
    </w:p>
    <w:p w:rsidR="00016696" w:rsidRDefault="00016696" w:rsidP="00016696">
      <w:pPr>
        <w:ind w:firstLineChars="200" w:firstLine="420"/>
      </w:pPr>
      <w:r>
        <w:rPr>
          <w:rFonts w:hint="eastAsia"/>
        </w:rPr>
        <w:t>为进一步谋深谋实船检数字化建设，平湖交通积极争取多方对平湖船检应用场景的支持指导，力争“船检通·船检在线”数字化应用模块在平湖试点。</w:t>
      </w:r>
      <w:r>
        <w:t>4</w:t>
      </w:r>
      <w:r>
        <w:t>月</w:t>
      </w:r>
      <w:r>
        <w:t>23</w:t>
      </w:r>
      <w:r>
        <w:t>日，由省港航船舶检验中心组织，与来自杭州、宁波、湖州、嘉兴等地的船检专家及平湖船厂代表会同开发公司在平召开</w:t>
      </w:r>
      <w:r>
        <w:t>“</w:t>
      </w:r>
      <w:r>
        <w:t>船检通</w:t>
      </w:r>
      <w:r>
        <w:t>·</w:t>
      </w:r>
      <w:r>
        <w:t>船检在线</w:t>
      </w:r>
      <w:r>
        <w:t>”</w:t>
      </w:r>
      <w:r>
        <w:t>模块的第一次功能测试会议。截至目前，已完成全部功能测试工作。</w:t>
      </w:r>
      <w:r>
        <w:t xml:space="preserve"> </w:t>
      </w:r>
    </w:p>
    <w:p w:rsidR="00016696" w:rsidRDefault="00016696" w:rsidP="00016696">
      <w:pPr>
        <w:ind w:firstLineChars="200" w:firstLine="420"/>
      </w:pPr>
      <w:r>
        <w:rPr>
          <w:rFonts w:hint="eastAsia"/>
        </w:rPr>
        <w:t>长三角一体化毗邻协同执法</w:t>
      </w:r>
    </w:p>
    <w:p w:rsidR="00016696" w:rsidRDefault="00016696" w:rsidP="00016696">
      <w:pPr>
        <w:ind w:firstLineChars="200" w:firstLine="420"/>
      </w:pPr>
      <w:r>
        <w:rPr>
          <w:rFonts w:hint="eastAsia"/>
        </w:rPr>
        <w:t>积极对接上海市交通委执法总队十大队与上海市金山区交通执法队，厘清执法需求、共同谋划发展。开展各类会商四次，依据会商意见编制示范点建设方案、三方党建共建协议、示范点（治超分队）办公场所改造方案及联合执法相关制度。上半年已完成示范点办公场所改造及相关硬件建设，联合执法站命名为“长三角区域交通运输联合执法协作示范点（浙江平湖—上海金山片区）”。开展长三角区域交通运输联合执法，上半年共开展毗邻执法</w:t>
      </w:r>
      <w:r>
        <w:t>5</w:t>
      </w:r>
      <w:r>
        <w:t>次，出动执法人员</w:t>
      </w:r>
      <w:r>
        <w:t>61</w:t>
      </w:r>
      <w:r>
        <w:t>人，检查车辆</w:t>
      </w:r>
      <w:r>
        <w:t>273</w:t>
      </w:r>
      <w:r>
        <w:t>辆，查处超限违法行为</w:t>
      </w:r>
      <w:r>
        <w:t>16</w:t>
      </w:r>
      <w:r>
        <w:t>起。开展非现场治超违法行为通知书送达互助执法，与上海市交</w:t>
      </w:r>
      <w:r>
        <w:rPr>
          <w:rFonts w:hint="eastAsia"/>
        </w:rPr>
        <w:t>通委执法总队十大队送达通知书</w:t>
      </w:r>
      <w:r>
        <w:t>1</w:t>
      </w:r>
      <w:r>
        <w:t>份，协助十大队完成违法超限行为处罚。积极推进信息互通，与上海方面达成站内信息互通共识，将结合上海市交通委执法总队总体布局协同推进。</w:t>
      </w:r>
    </w:p>
    <w:p w:rsidR="00016696" w:rsidRDefault="00016696" w:rsidP="00016696">
      <w:pPr>
        <w:ind w:firstLineChars="200" w:firstLine="420"/>
      </w:pPr>
      <w:r>
        <w:rPr>
          <w:rFonts w:hint="eastAsia"/>
        </w:rPr>
        <w:t>货运物流行业全链式集成改革</w:t>
      </w:r>
    </w:p>
    <w:p w:rsidR="00016696" w:rsidRDefault="00016696" w:rsidP="00016696">
      <w:pPr>
        <w:ind w:firstLineChars="200" w:firstLine="420"/>
      </w:pPr>
      <w:r>
        <w:rPr>
          <w:rFonts w:hint="eastAsia"/>
        </w:rPr>
        <w:t>改革目标包括推进货运物流行业高质量发展、打造货车司机权益保障体系、建设货运物流绿色交通和加强货运物流行业安全管理四个方面。平湖市</w:t>
      </w:r>
      <w:r>
        <w:t>1-5</w:t>
      </w:r>
      <w:r>
        <w:t>月运输产业培育发展晾晒指标达到</w:t>
      </w:r>
      <w:r>
        <w:t>24.85</w:t>
      </w:r>
      <w:r>
        <w:t>分，五县四区排名第二。</w:t>
      </w:r>
    </w:p>
    <w:p w:rsidR="00016696" w:rsidRDefault="00016696" w:rsidP="00016696">
      <w:pPr>
        <w:ind w:firstLineChars="200" w:firstLine="420"/>
      </w:pPr>
      <w:r>
        <w:t>2023</w:t>
      </w:r>
      <w:r>
        <w:t>年平湖市客货邮综合服务站任务目标为建设</w:t>
      </w:r>
      <w:r>
        <w:t>13</w:t>
      </w:r>
      <w:r>
        <w:t>个客货邮综合服务站、</w:t>
      </w:r>
      <w:r>
        <w:t>1</w:t>
      </w:r>
      <w:r>
        <w:t>个县级共配中心、</w:t>
      </w:r>
      <w:r>
        <w:t>1</w:t>
      </w:r>
      <w:r>
        <w:t>个镇级共配中心、</w:t>
      </w:r>
      <w:r>
        <w:t>2</w:t>
      </w:r>
      <w:r>
        <w:t>条客货邮合作线路，通过对接邮政管理局，探索将金平湖驿站改造提升为客货邮综合服务站，目前在新仓镇客运站开展客货邮镇级共配中心选址工作。联合人民银行平湖支行，组织召开</w:t>
      </w:r>
      <w:r>
        <w:t>“</w:t>
      </w:r>
      <w:r>
        <w:t>交通物流贷款入园进企</w:t>
      </w:r>
      <w:r>
        <w:t>”</w:t>
      </w:r>
      <w:r>
        <w:t>政银企对接会，全市共计</w:t>
      </w:r>
      <w:r>
        <w:t>7</w:t>
      </w:r>
      <w:r>
        <w:t>家道路货运企业参会，与</w:t>
      </w:r>
      <w:r>
        <w:t>4</w:t>
      </w:r>
      <w:r>
        <w:t>家商业银行进行了贷款需求现场咨询与对接，进一步拓宽了企业的融资渠道。</w:t>
      </w:r>
    </w:p>
    <w:p w:rsidR="00016696" w:rsidRDefault="00016696" w:rsidP="00016696">
      <w:pPr>
        <w:ind w:firstLineChars="200" w:firstLine="420"/>
      </w:pPr>
      <w:r>
        <w:rPr>
          <w:rFonts w:hint="eastAsia"/>
        </w:rPr>
        <w:t>建立平湖市公路运输企业安全生产综合监管机制，采取定期与不定期检查相结合的形式，每季度开展一轮综合检查，原则上覆盖所有“两客一危”企业，并将</w:t>
      </w:r>
      <w:r>
        <w:t>20</w:t>
      </w:r>
      <w:r>
        <w:t>辆车以上货运企业纳入监管范围。在全市货运物流行业推广应用驾驶员职业健康数字化预警与管理系统，选定平湖市亚太物流有限公司率先进行试点。配合嘉兴市公运中心，开展重载普货车辆卫星定位装置</w:t>
      </w:r>
      <w:r>
        <w:t>“</w:t>
      </w:r>
      <w:r>
        <w:t>装而不用</w:t>
      </w:r>
      <w:r>
        <w:t>”</w:t>
      </w:r>
      <w:r>
        <w:t>场景监测应用，</w:t>
      </w:r>
      <w:r>
        <w:t>7</w:t>
      </w:r>
      <w:r>
        <w:t>月</w:t>
      </w:r>
      <w:r>
        <w:t>1</w:t>
      </w:r>
      <w:r>
        <w:t>日起启动拥有</w:t>
      </w:r>
      <w:r>
        <w:t>30</w:t>
      </w:r>
      <w:r>
        <w:t>辆及以上车辆企业的异常线索处置工作，处置率达到</w:t>
      </w:r>
      <w:r>
        <w:t>100%</w:t>
      </w:r>
      <w:r>
        <w:t>。</w:t>
      </w:r>
    </w:p>
    <w:p w:rsidR="00016696" w:rsidRPr="00EC22BC" w:rsidRDefault="00016696" w:rsidP="00EC22BC">
      <w:pPr>
        <w:jc w:val="right"/>
      </w:pPr>
      <w:r w:rsidRPr="00EC22BC">
        <w:rPr>
          <w:rFonts w:hint="eastAsia"/>
        </w:rPr>
        <w:t>平湖市人民政府</w:t>
      </w:r>
      <w:r>
        <w:rPr>
          <w:rFonts w:hint="eastAsia"/>
        </w:rPr>
        <w:t xml:space="preserve"> 2023-7-7</w:t>
      </w:r>
    </w:p>
    <w:p w:rsidR="00016696" w:rsidRDefault="00016696" w:rsidP="00012F1B">
      <w:pPr>
        <w:sectPr w:rsidR="00016696" w:rsidSect="00012F1B">
          <w:type w:val="continuous"/>
          <w:pgSz w:w="11906" w:h="16838"/>
          <w:pgMar w:top="1644" w:right="1236" w:bottom="1418" w:left="1814" w:header="851" w:footer="907" w:gutter="0"/>
          <w:pgNumType w:start="1"/>
          <w:cols w:space="720"/>
          <w:docGrid w:type="lines" w:linePitch="341" w:charSpace="2373"/>
        </w:sectPr>
      </w:pPr>
    </w:p>
    <w:p w:rsidR="00987A90" w:rsidRDefault="00987A90"/>
    <w:sectPr w:rsidR="00987A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6696"/>
    <w:rsid w:val="00016696"/>
    <w:rsid w:val="00987A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66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66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1619</Characters>
  <Application>Microsoft Office Word</Application>
  <DocSecurity>0</DocSecurity>
  <Lines>13</Lines>
  <Paragraphs>3</Paragraphs>
  <ScaleCrop>false</ScaleCrop>
  <Company>Microsoft</Company>
  <LinksUpToDate>false</LinksUpToDate>
  <CharactersWithSpaces>1900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2023-07-14T05:52:00Z</dcterms:created>
</cp:coreProperties>
</file>