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712A" w:rsidRDefault="008E712A" w:rsidP="00F07469">
      <w:pPr>
        <w:pStyle w:val="1"/>
      </w:pPr>
      <w:r w:rsidRPr="00F07469">
        <w:rPr>
          <w:rFonts w:hint="eastAsia"/>
        </w:rPr>
        <w:t>含山县市场监督管理局</w:t>
      </w:r>
      <w:r w:rsidRPr="00F07469">
        <w:t>2023年上半年工作总结</w:t>
      </w:r>
    </w:p>
    <w:p w:rsidR="008E712A" w:rsidRDefault="008E712A" w:rsidP="008E712A">
      <w:pPr>
        <w:ind w:firstLineChars="200" w:firstLine="420"/>
      </w:pPr>
      <w:r>
        <w:t>2023</w:t>
      </w:r>
      <w:r>
        <w:t>年上半年，在县委县政府的正确领导下，县市场局立足市场监管职能，深化</w:t>
      </w:r>
      <w:r>
        <w:t>“</w:t>
      </w:r>
      <w:r>
        <w:t>一改两为</w:t>
      </w:r>
      <w:r>
        <w:t xml:space="preserve">” </w:t>
      </w:r>
      <w:r>
        <w:t>提升工作效能优化营商环境，以服务市场主体、严格执法监管、保障经济发展为目标，推进各项工作任务落细落实，现将上半年工作总结报告如下。</w:t>
      </w:r>
    </w:p>
    <w:p w:rsidR="008E712A" w:rsidRDefault="008E712A" w:rsidP="008E712A">
      <w:pPr>
        <w:ind w:firstLineChars="200" w:firstLine="420"/>
      </w:pPr>
      <w:r>
        <w:rPr>
          <w:rFonts w:hint="eastAsia"/>
        </w:rPr>
        <w:t>一、上半年工作完成情况</w:t>
      </w:r>
    </w:p>
    <w:p w:rsidR="008E712A" w:rsidRDefault="008E712A" w:rsidP="008E712A">
      <w:pPr>
        <w:ind w:firstLineChars="200" w:firstLine="420"/>
      </w:pPr>
      <w:r>
        <w:rPr>
          <w:rFonts w:hint="eastAsia"/>
        </w:rPr>
        <w:t>（一）创新机制激发活力，服务经济健康发展</w:t>
      </w:r>
    </w:p>
    <w:p w:rsidR="008E712A" w:rsidRDefault="008E712A" w:rsidP="008E712A">
      <w:pPr>
        <w:ind w:firstLineChars="200" w:firstLine="420"/>
      </w:pPr>
      <w:r>
        <w:t>1.</w:t>
      </w:r>
      <w:r>
        <w:t>优化行政审批流程，提升服务质效。截止</w:t>
      </w:r>
      <w:r>
        <w:t>5</w:t>
      </w:r>
      <w:r>
        <w:t>月底，全县共设立企业</w:t>
      </w:r>
      <w:r>
        <w:t>506</w:t>
      </w:r>
      <w:r>
        <w:t>家，同比增长</w:t>
      </w:r>
      <w:r>
        <w:t>58%</w:t>
      </w:r>
      <w:r>
        <w:t>，设立个体工商户</w:t>
      </w:r>
      <w:r>
        <w:t>1900</w:t>
      </w:r>
      <w:r>
        <w:t>家，同比增长</w:t>
      </w:r>
      <w:r>
        <w:t>54%</w:t>
      </w:r>
      <w:r>
        <w:t>。立足安徽政务服务网马鞍山分厅企业开办系统，实现企业登记事项全流程线上办理，企业开办</w:t>
      </w:r>
      <w:r>
        <w:t>“</w:t>
      </w:r>
      <w:r>
        <w:t>四小时、不过夜</w:t>
      </w:r>
      <w:r>
        <w:t>”</w:t>
      </w:r>
      <w:r>
        <w:t>。建设企业开办综合窗口，实现集中受理，统一出件，配备帮办人员，为群众提供免费的保姆式服务。以政府购买方式，免费为辖区内新开办企业提供一套</w:t>
      </w:r>
      <w:r>
        <w:t>5</w:t>
      </w:r>
      <w:r>
        <w:t>枚印章，目前已为</w:t>
      </w:r>
      <w:r>
        <w:t>453</w:t>
      </w:r>
      <w:r>
        <w:t>家企业提供免费印章，节约业开办成本近</w:t>
      </w:r>
      <w:r>
        <w:t>20.8</w:t>
      </w:r>
      <w:r>
        <w:t>万元。通过皖事通企业开办掌上办，实现手机进行企业开办，打破了地点的限制，让企业</w:t>
      </w:r>
      <w:r>
        <w:rPr>
          <w:rFonts w:hint="eastAsia"/>
        </w:rPr>
        <w:t>开办更便捷高效。开展“一照多址”改革，进一步简化平台企业分支机构设立手续，突破了一直以来一份营业执照只能有一个地址的限制。</w:t>
      </w:r>
    </w:p>
    <w:p w:rsidR="008E712A" w:rsidRDefault="008E712A" w:rsidP="008E712A">
      <w:pPr>
        <w:ind w:firstLineChars="200" w:firstLine="420"/>
      </w:pPr>
      <w:r>
        <w:t>2.</w:t>
      </w:r>
      <w:r>
        <w:t>加快知识产权培育，增强企业动力。</w:t>
      </w:r>
      <w:r>
        <w:t>1</w:t>
      </w:r>
      <w:r>
        <w:t>至</w:t>
      </w:r>
      <w:r>
        <w:t>4</w:t>
      </w:r>
      <w:r>
        <w:t>月我县发明专利授权量</w:t>
      </w:r>
      <w:r>
        <w:t>43</w:t>
      </w:r>
      <w:r>
        <w:t>件，实用新型</w:t>
      </w:r>
      <w:r>
        <w:t>109</w:t>
      </w:r>
      <w:r>
        <w:t>件，外观设计</w:t>
      </w:r>
      <w:r>
        <w:t>19</w:t>
      </w:r>
      <w:r>
        <w:t>件，合计</w:t>
      </w:r>
      <w:r>
        <w:t>171</w:t>
      </w:r>
      <w:r>
        <w:t>件。截止目前，有效发明专利</w:t>
      </w:r>
      <w:r>
        <w:t>914</w:t>
      </w:r>
      <w:r>
        <w:t>件，累计净增</w:t>
      </w:r>
      <w:r>
        <w:t>23</w:t>
      </w:r>
      <w:r>
        <w:t>件。组织</w:t>
      </w:r>
      <w:r>
        <w:t>2022</w:t>
      </w:r>
      <w:r>
        <w:t>年度知识产权</w:t>
      </w:r>
      <w:r>
        <w:t>“</w:t>
      </w:r>
      <w:r>
        <w:t>优秀、优势、优良</w:t>
      </w:r>
      <w:r>
        <w:t>”</w:t>
      </w:r>
      <w:r>
        <w:t>三优企业评选认定工作。经过审核，共评选出优秀企业</w:t>
      </w:r>
      <w:r>
        <w:t>7</w:t>
      </w:r>
      <w:r>
        <w:t>家，优势企业</w:t>
      </w:r>
      <w:r>
        <w:t>31</w:t>
      </w:r>
      <w:r>
        <w:t>家，优良企业</w:t>
      </w:r>
      <w:r>
        <w:t>44</w:t>
      </w:r>
      <w:r>
        <w:t>家。加强质押融资支持力度，共办理专利质押贷款</w:t>
      </w:r>
      <w:r>
        <w:t>12</w:t>
      </w:r>
      <w:r>
        <w:t>件，融资金额</w:t>
      </w:r>
      <w:r>
        <w:t>7730</w:t>
      </w:r>
      <w:r>
        <w:t>万元。办理商标质押贷款</w:t>
      </w:r>
      <w:r>
        <w:t>1</w:t>
      </w:r>
      <w:r>
        <w:t>件，融资金额</w:t>
      </w:r>
      <w:r>
        <w:t>800</w:t>
      </w:r>
      <w:r>
        <w:t>万元。开展知识产权管理标准化建设，目前以从备案企业中研究决定同意</w:t>
      </w:r>
      <w:r>
        <w:t>10</w:t>
      </w:r>
      <w:r>
        <w:t>家企业申请</w:t>
      </w:r>
      <w:r>
        <w:t>2023</w:t>
      </w:r>
      <w:r>
        <w:t>年知识产权</w:t>
      </w:r>
      <w:r>
        <w:t>“</w:t>
      </w:r>
      <w:r>
        <w:t>贯标</w:t>
      </w:r>
      <w:r>
        <w:t>”</w:t>
      </w:r>
      <w:r>
        <w:t>，推动</w:t>
      </w:r>
      <w:r>
        <w:rPr>
          <w:rFonts w:hint="eastAsia"/>
        </w:rPr>
        <w:t>我县企业知识产权“贯标”工作迈上新台阶。</w:t>
      </w:r>
    </w:p>
    <w:p w:rsidR="008E712A" w:rsidRDefault="008E712A" w:rsidP="008E712A">
      <w:pPr>
        <w:ind w:firstLineChars="200" w:firstLine="420"/>
      </w:pPr>
      <w:r>
        <w:t>3.</w:t>
      </w:r>
      <w:r>
        <w:t>推进质量提升行动，促进产业发展。深入开展质量基础设施</w:t>
      </w:r>
      <w:r>
        <w:t>“</w:t>
      </w:r>
      <w:r>
        <w:t>一站式</w:t>
      </w:r>
      <w:r>
        <w:t>”</w:t>
      </w:r>
      <w:r>
        <w:t>服务，以备案的首席质量官为抓手，建立工作服务微信群，大力宣传质量基础设施一站式服务平台暨马鞍山质量在线平台，在知识产权、特种设备、计量等方面根据企业需求开展</w:t>
      </w:r>
      <w:r>
        <w:t>“</w:t>
      </w:r>
      <w:r>
        <w:t>订单</w:t>
      </w:r>
      <w:r>
        <w:t>”</w:t>
      </w:r>
      <w:r>
        <w:t>式服务。目前，质量基础设施</w:t>
      </w:r>
      <w:r>
        <w:t>“</w:t>
      </w:r>
      <w:r>
        <w:t>一站式</w:t>
      </w:r>
      <w:r>
        <w:t>”</w:t>
      </w:r>
      <w:r>
        <w:t>服务平台已为</w:t>
      </w:r>
      <w:r>
        <w:t>210</w:t>
      </w:r>
      <w:r>
        <w:t>多家企业开展服务。持续开展</w:t>
      </w:r>
      <w:r>
        <w:t>“</w:t>
      </w:r>
      <w:r>
        <w:t>四个一</w:t>
      </w:r>
      <w:r>
        <w:t>”</w:t>
      </w:r>
      <w:r>
        <w:t>质量提升行动。根据我县产业实际，将铸造产业作为</w:t>
      </w:r>
      <w:r>
        <w:t>“</w:t>
      </w:r>
      <w:r>
        <w:t>四个一</w:t>
      </w:r>
      <w:r>
        <w:t>”</w:t>
      </w:r>
      <w:r>
        <w:t>质量提升的重点园区和重点产业，持续开展帮扶，促进我县铸造产业高质量发展，持续提升铸造产业整体质量水平。积极创建安徽省铸件产品质量提升示范</w:t>
      </w:r>
      <w:r>
        <w:rPr>
          <w:rFonts w:hint="eastAsia"/>
        </w:rPr>
        <w:t>区，加大对铸造企业的首席质量官的培训力度，积极将铸造行业纳入小微企业质量与认证提升活动，目前已对</w:t>
      </w:r>
      <w:r>
        <w:t>18</w:t>
      </w:r>
      <w:r>
        <w:t>家企业开展了调研，其中</w:t>
      </w:r>
      <w:r>
        <w:t>5</w:t>
      </w:r>
      <w:r>
        <w:t>家企业纳入重点帮扶企业名单。</w:t>
      </w:r>
    </w:p>
    <w:p w:rsidR="008E712A" w:rsidRDefault="008E712A" w:rsidP="008E712A">
      <w:pPr>
        <w:ind w:firstLineChars="200" w:firstLine="420"/>
      </w:pPr>
      <w:r>
        <w:rPr>
          <w:rFonts w:hint="eastAsia"/>
        </w:rPr>
        <w:t>（二）强化监管增强引力，坚守安全生产底线</w:t>
      </w:r>
    </w:p>
    <w:p w:rsidR="008E712A" w:rsidRDefault="008E712A" w:rsidP="008E712A">
      <w:pPr>
        <w:ind w:firstLineChars="200" w:firstLine="420"/>
      </w:pPr>
      <w:r>
        <w:t>1.</w:t>
      </w:r>
      <w:r>
        <w:t>做好食品安全监管。严格落实食品安全</w:t>
      </w:r>
      <w:r>
        <w:t>“</w:t>
      </w:r>
      <w:r>
        <w:t>两个责任</w:t>
      </w:r>
      <w:r>
        <w:t>”</w:t>
      </w:r>
      <w:r>
        <w:t>，以创建国家</w:t>
      </w:r>
      <w:r>
        <w:t>“</w:t>
      </w:r>
      <w:r>
        <w:t>食品安全示范城市</w:t>
      </w:r>
      <w:r>
        <w:t>”</w:t>
      </w:r>
      <w:r>
        <w:t>为抓手，强化食品生产企业隐患排查，重点开展了食用植物油专项整治工作，联合公安等部门，对全县</w:t>
      </w:r>
      <w:r>
        <w:t>66</w:t>
      </w:r>
      <w:r>
        <w:t>家食用植物油生产企业小作坊进行全覆盖检查，共排查问题企业</w:t>
      </w:r>
      <w:r>
        <w:t>46</w:t>
      </w:r>
      <w:r>
        <w:t>家，责令整改</w:t>
      </w:r>
      <w:r>
        <w:t>19</w:t>
      </w:r>
      <w:r>
        <w:t>家，停业整顿</w:t>
      </w:r>
      <w:r>
        <w:t>20</w:t>
      </w:r>
      <w:r>
        <w:t>家，立案</w:t>
      </w:r>
      <w:r>
        <w:t>13</w:t>
      </w:r>
      <w:r>
        <w:t>家，注销</w:t>
      </w:r>
      <w:r>
        <w:t>1</w:t>
      </w:r>
      <w:r>
        <w:t>家，汇总风险隐患问题</w:t>
      </w:r>
      <w:r>
        <w:t>102</w:t>
      </w:r>
      <w:r>
        <w:t>个。以大型餐饮单位为重点对象，开展了年夜饭、春季学校食堂、养老机构食堂等专项检查，组织食堂食品安全管理员和大型餐饮企业集中培训</w:t>
      </w:r>
      <w:r>
        <w:t>4</w:t>
      </w:r>
      <w:r>
        <w:t>场，通过专项检查和集中培训，不断提高食品安全监管水平，筑牢食品安全防</w:t>
      </w:r>
      <w:r>
        <w:rPr>
          <w:rFonts w:hint="eastAsia"/>
        </w:rPr>
        <w:t>线。</w:t>
      </w:r>
    </w:p>
    <w:p w:rsidR="008E712A" w:rsidRDefault="008E712A" w:rsidP="008E712A">
      <w:pPr>
        <w:ind w:firstLineChars="200" w:firstLine="420"/>
      </w:pPr>
      <w:r>
        <w:t>2.</w:t>
      </w:r>
      <w:r>
        <w:t>做好药品安全监管。完善药械质量安全风险会商、研判、处置工作机制，实行重点隐患整改挂账销号，实现风险闭环管理。实施药品、医疗器械风险分级监管和风险清单台账管理，增强监督检查的针对性、有效性。上半年，共检查零售药店、医疗机构等主体</w:t>
      </w:r>
      <w:r>
        <w:t>166</w:t>
      </w:r>
      <w:r>
        <w:t>家次，排查各类安全风险隐患</w:t>
      </w:r>
      <w:r>
        <w:t>10</w:t>
      </w:r>
      <w:r>
        <w:t>余条，检查过程中发现的风险隐患均列入清单台账管理，均已整改完成。创新探索药品安全网格员管理模式，划分区域网格，明确责任、分工，建立起</w:t>
      </w:r>
      <w:r>
        <w:t>“</w:t>
      </w:r>
      <w:r>
        <w:t>属地管理、分级负责、全面覆盖、责任到人</w:t>
      </w:r>
      <w:r>
        <w:t>”</w:t>
      </w:r>
      <w:r>
        <w:t>的安全网格化监管体系，着力打通药品安全监管</w:t>
      </w:r>
      <w:r>
        <w:t>“</w:t>
      </w:r>
      <w:r>
        <w:t>最后一公里</w:t>
      </w:r>
      <w:r>
        <w:t>”</w:t>
      </w:r>
      <w:r>
        <w:t>。织培育了</w:t>
      </w:r>
      <w:r>
        <w:t>“</w:t>
      </w:r>
      <w:r>
        <w:t>明贤</w:t>
      </w:r>
      <w:r>
        <w:rPr>
          <w:rFonts w:hint="eastAsia"/>
        </w:rPr>
        <w:t>街化妆品监管示范一条街”，充分发挥企业规范化经营示范引领作用，有效带动并提升我县化妆品行业规范化水平。</w:t>
      </w:r>
    </w:p>
    <w:p w:rsidR="008E712A" w:rsidRDefault="008E712A" w:rsidP="008E712A">
      <w:pPr>
        <w:ind w:firstLineChars="200" w:firstLine="420"/>
      </w:pPr>
      <w:r>
        <w:t>3.</w:t>
      </w:r>
      <w:r>
        <w:t>做好特种设备安全监管。深入推进特种设备专项整治，上半年，组织开展了安全生产、起重机回头看、压力容器、快开门压力容器等专项检查，共检查企业</w:t>
      </w:r>
      <w:r>
        <w:t>180</w:t>
      </w:r>
      <w:r>
        <w:t>家，做出特种设备现场安全监督检查记录</w:t>
      </w:r>
      <w:r>
        <w:t>62</w:t>
      </w:r>
      <w:r>
        <w:t>份，下达特种设备安全监察指令书</w:t>
      </w:r>
      <w:r>
        <w:t>22</w:t>
      </w:r>
      <w:r>
        <w:t>份，对专项行动中发现的隐患督促企业按时完成整改。积极为企业提供全程线上办理特种设备告知、使用登记证办理服务，并制作操作流程视频，简化流程、减少材料，申报企业只需</w:t>
      </w:r>
      <w:r>
        <w:t>“</w:t>
      </w:r>
      <w:r>
        <w:t>最多跑一趟</w:t>
      </w:r>
      <w:r>
        <w:t>”</w:t>
      </w:r>
      <w:r>
        <w:t>，即可实现</w:t>
      </w:r>
      <w:r>
        <w:t>“</w:t>
      </w:r>
      <w:r>
        <w:t>即办即结、立等可取</w:t>
      </w:r>
      <w:r>
        <w:t>”</w:t>
      </w:r>
      <w:r>
        <w:t>。同时，为企业提供即将到期检验的特种设备报检提醒服务，缓解企业安全生产方面的缺失。</w:t>
      </w:r>
    </w:p>
    <w:p w:rsidR="008E712A" w:rsidRDefault="008E712A" w:rsidP="008E712A">
      <w:pPr>
        <w:ind w:firstLineChars="200" w:firstLine="420"/>
      </w:pPr>
      <w:r>
        <w:rPr>
          <w:rFonts w:hint="eastAsia"/>
        </w:rPr>
        <w:t>（三）齐抓共管形成合力，打造公平竞争环境</w:t>
      </w:r>
    </w:p>
    <w:p w:rsidR="008E712A" w:rsidRDefault="008E712A" w:rsidP="008E712A">
      <w:pPr>
        <w:ind w:firstLineChars="200" w:firstLine="420"/>
      </w:pPr>
      <w:r>
        <w:t>1.</w:t>
      </w:r>
      <w:r>
        <w:t>强化执法办案，及时处理申诉举报。开展</w:t>
      </w:r>
      <w:r>
        <w:t>“</w:t>
      </w:r>
      <w:r>
        <w:t>两节</w:t>
      </w:r>
      <w:r>
        <w:t>”</w:t>
      </w:r>
      <w:r>
        <w:t>打假、</w:t>
      </w:r>
      <w:r>
        <w:t>“</w:t>
      </w:r>
      <w:r>
        <w:t>长江禁捕打非断链</w:t>
      </w:r>
      <w:r>
        <w:t>”</w:t>
      </w:r>
      <w:r>
        <w:t>、民生领域案件查办</w:t>
      </w:r>
      <w:r>
        <w:t>“</w:t>
      </w:r>
      <w:r>
        <w:t>铁拳</w:t>
      </w:r>
      <w:r>
        <w:t>”</w:t>
      </w:r>
      <w:r>
        <w:t>行动，集中整治商品过度包装。上半年以来，共查办案件</w:t>
      </w:r>
      <w:r>
        <w:t>82</w:t>
      </w:r>
      <w:r>
        <w:t>件，罚没金额</w:t>
      </w:r>
      <w:r>
        <w:t>32.6</w:t>
      </w:r>
      <w:r>
        <w:t>万元，其中反对餐饮浪费案件，作为典型案例被市市场监管局采纳。同时，对违法行为的查处本着处罚与教育相结合的原则，对轻微违法企业予以警告并责令整改，上半年，共有</w:t>
      </w:r>
      <w:r>
        <w:t xml:space="preserve">6 </w:t>
      </w:r>
      <w:r>
        <w:t>个案件因轻微违法免于处罚。组织开展</w:t>
      </w:r>
      <w:r>
        <w:t>3.15</w:t>
      </w:r>
      <w:r>
        <w:t>消费者权益保护宣传活动，发布消费警示</w:t>
      </w:r>
      <w:r>
        <w:t>5</w:t>
      </w:r>
      <w:r>
        <w:t>期、维权动态</w:t>
      </w:r>
      <w:r>
        <w:t>20</w:t>
      </w:r>
      <w:r>
        <w:t>条，公示投诉信息</w:t>
      </w:r>
      <w:r>
        <w:t>5</w:t>
      </w:r>
      <w:r>
        <w:t>期，帮助广大消费者预判风险、避免损失。截至目前，受理投诉举报咨询</w:t>
      </w:r>
      <w:r>
        <w:t>710</w:t>
      </w:r>
      <w:r>
        <w:t>件，其中投诉</w:t>
      </w:r>
      <w:r>
        <w:t>550</w:t>
      </w:r>
      <w:r>
        <w:t>件（受理</w:t>
      </w:r>
      <w:r>
        <w:t>466</w:t>
      </w:r>
      <w:r>
        <w:t>件，不受理</w:t>
      </w:r>
      <w:r>
        <w:t>64</w:t>
      </w:r>
      <w:r>
        <w:t>件），举报</w:t>
      </w:r>
      <w:r>
        <w:t>160</w:t>
      </w:r>
      <w:r>
        <w:t>件，所有投诉举报均按规定时限予以处置，按时处置率</w:t>
      </w:r>
      <w:r>
        <w:t>100%</w:t>
      </w:r>
      <w:r>
        <w:t>。</w:t>
      </w:r>
    </w:p>
    <w:p w:rsidR="008E712A" w:rsidRDefault="008E712A" w:rsidP="008E712A">
      <w:pPr>
        <w:ind w:firstLineChars="200" w:firstLine="420"/>
      </w:pPr>
      <w:r>
        <w:t>2.</w:t>
      </w:r>
      <w:r>
        <w:t>推进</w:t>
      </w:r>
      <w:r>
        <w:t>“</w:t>
      </w:r>
      <w:r>
        <w:t>双随机、一公开</w:t>
      </w:r>
      <w:r>
        <w:t>”</w:t>
      </w:r>
      <w:r>
        <w:t>监管全覆盖。动态调整</w:t>
      </w:r>
      <w:r>
        <w:t>“</w:t>
      </w:r>
      <w:r>
        <w:t>一单两库一细则</w:t>
      </w:r>
      <w:r>
        <w:t>”</w:t>
      </w:r>
      <w:r>
        <w:t>，健全随机抽查事项清单、检查对象名录库、执法检查人员名录库，夯实双随机抽查工作基础。按照商改联抽查计划和抽查清单</w:t>
      </w:r>
      <w:r>
        <w:t>24</w:t>
      </w:r>
      <w:r>
        <w:t>家成员单位对事中事后监管平台中的事项清单库进行了更新。上半年，与城管局、气象局等多家单位、发起了</w:t>
      </w:r>
      <w:r>
        <w:t>28</w:t>
      </w:r>
      <w:r>
        <w:t>个抽查任务，涉及企业</w:t>
      </w:r>
      <w:r>
        <w:t>56</w:t>
      </w:r>
      <w:r>
        <w:t>户逐步覆盖抽查事项清单，任务检查完成后</w:t>
      </w:r>
      <w:r>
        <w:t>20</w:t>
      </w:r>
      <w:r>
        <w:t>日内均已在国家企业信用信息公示平台公示。</w:t>
      </w:r>
    </w:p>
    <w:p w:rsidR="008E712A" w:rsidRDefault="008E712A" w:rsidP="008E712A">
      <w:pPr>
        <w:ind w:firstLineChars="200" w:firstLine="420"/>
      </w:pPr>
      <w:r>
        <w:rPr>
          <w:rFonts w:hint="eastAsia"/>
        </w:rPr>
        <w:t>加快推进企业年报工作完善信用修复。全县</w:t>
      </w:r>
      <w:r>
        <w:t>7125</w:t>
      </w:r>
      <w:r>
        <w:t>户内资企业，</w:t>
      </w:r>
      <w:r>
        <w:t>29493</w:t>
      </w:r>
      <w:r>
        <w:t>户个体工商户和</w:t>
      </w:r>
      <w:r>
        <w:t>703</w:t>
      </w:r>
      <w:r>
        <w:t>户农民专社合作社，</w:t>
      </w:r>
      <w:r>
        <w:t>40</w:t>
      </w:r>
      <w:r>
        <w:t>户外资企业，截止</w:t>
      </w:r>
      <w:r>
        <w:t>5</w:t>
      </w:r>
      <w:r>
        <w:t>月底，个体工商户年报率</w:t>
      </w:r>
      <w:r>
        <w:t>67%</w:t>
      </w:r>
      <w:r>
        <w:t>，内资企业年报率</w:t>
      </w:r>
      <w:r>
        <w:t>69%</w:t>
      </w:r>
      <w:r>
        <w:t>，农专社应年报</w:t>
      </w:r>
      <w:r>
        <w:t>68%</w:t>
      </w:r>
      <w:r>
        <w:t>，外资应年报率</w:t>
      </w:r>
      <w:r>
        <w:t>84.21%</w:t>
      </w:r>
      <w:r>
        <w:t>。对没有年报和对财务信息</w:t>
      </w:r>
      <w:r>
        <w:t>“</w:t>
      </w:r>
      <w:r>
        <w:t>零值率</w:t>
      </w:r>
      <w:r>
        <w:t>”</w:t>
      </w:r>
      <w:r>
        <w:t>情况的企业，通过电话、微信以及上门服务指导，确保</w:t>
      </w:r>
      <w:r>
        <w:t>“</w:t>
      </w:r>
      <w:r>
        <w:t>应报尽报</w:t>
      </w:r>
      <w:r>
        <w:t>”</w:t>
      </w:r>
      <w:r>
        <w:t>稳步推进年报，鼓励网上年报，积极推进个体工商户年报信息化水平。上半年共办理企业信用修复共</w:t>
      </w:r>
      <w:r>
        <w:t>30</w:t>
      </w:r>
      <w:r>
        <w:t>户，其中对双随机检查结果中登记住所无法联系和公示信息隐瞒真实情况、弄虚作假的企业进行修复</w:t>
      </w:r>
      <w:r>
        <w:t>25</w:t>
      </w:r>
      <w:r>
        <w:t>户。办理移</w:t>
      </w:r>
      <w:r>
        <w:rPr>
          <w:rFonts w:hint="eastAsia"/>
        </w:rPr>
        <w:t>出异常名录的企业共计</w:t>
      </w:r>
      <w:r>
        <w:t>38</w:t>
      </w:r>
      <w:r>
        <w:t>户。上传双公示信息</w:t>
      </w:r>
      <w:r>
        <w:t>932</w:t>
      </w:r>
      <w:r>
        <w:t>条，提升了企业的信用意识，加强了对企业的信用管理。</w:t>
      </w:r>
    </w:p>
    <w:p w:rsidR="008E712A" w:rsidRDefault="008E712A" w:rsidP="008E712A">
      <w:pPr>
        <w:ind w:firstLineChars="200" w:firstLine="420"/>
      </w:pPr>
      <w:r>
        <w:rPr>
          <w:rFonts w:hint="eastAsia"/>
        </w:rPr>
        <w:t>二、工作不足</w:t>
      </w:r>
    </w:p>
    <w:p w:rsidR="008E712A" w:rsidRDefault="008E712A" w:rsidP="008E712A">
      <w:pPr>
        <w:ind w:firstLineChars="200" w:firstLine="420"/>
      </w:pPr>
      <w:r>
        <w:rPr>
          <w:rFonts w:hint="eastAsia"/>
        </w:rPr>
        <w:t>一是监管力量薄弱。全局存在队伍老化、业务能力不强等问题，监管队伍数量和质量上均与繁重的市场监管任务有一定差距，制约着市场监管作用发挥。</w:t>
      </w:r>
    </w:p>
    <w:p w:rsidR="008E712A" w:rsidRDefault="008E712A" w:rsidP="008E712A">
      <w:pPr>
        <w:ind w:firstLineChars="200" w:firstLine="420"/>
      </w:pPr>
      <w:r>
        <w:rPr>
          <w:rFonts w:hint="eastAsia"/>
        </w:rPr>
        <w:t>二是行政执法工作配套制度还不够完善。执法音像记录管理制度、信息调阅监督制度需要进一步完善，信息公开发布撤销更新机制需要进一步健全。</w:t>
      </w:r>
    </w:p>
    <w:p w:rsidR="008E712A" w:rsidRDefault="008E712A" w:rsidP="008E712A">
      <w:pPr>
        <w:ind w:firstLineChars="200" w:firstLine="420"/>
      </w:pPr>
      <w:r>
        <w:rPr>
          <w:rFonts w:hint="eastAsia"/>
        </w:rPr>
        <w:t>三是信访工作量大。目前全局共收到信访事项</w:t>
      </w:r>
      <w:r>
        <w:t>22</w:t>
      </w:r>
      <w:r>
        <w:t>件。信访来件多为重复件和职业打假人投诉举报，化解难度大，耗费大量精力，影响了其他工作正常的开展。</w:t>
      </w:r>
    </w:p>
    <w:p w:rsidR="008E712A" w:rsidRDefault="008E712A" w:rsidP="00F07469">
      <w:pPr>
        <w:jc w:val="right"/>
      </w:pPr>
      <w:r w:rsidRPr="00F07469">
        <w:rPr>
          <w:rFonts w:hint="eastAsia"/>
        </w:rPr>
        <w:t>含山县市场监督管理局</w:t>
      </w:r>
      <w:r>
        <w:rPr>
          <w:rFonts w:hint="eastAsia"/>
        </w:rPr>
        <w:t>2023-6-17</w:t>
      </w:r>
    </w:p>
    <w:p w:rsidR="008E712A" w:rsidRDefault="008E712A" w:rsidP="00462B86">
      <w:pPr>
        <w:sectPr w:rsidR="008E712A" w:rsidSect="00462B86">
          <w:type w:val="continuous"/>
          <w:pgSz w:w="11906" w:h="16838"/>
          <w:pgMar w:top="1644" w:right="1236" w:bottom="1418" w:left="1814" w:header="851" w:footer="907" w:gutter="0"/>
          <w:pgNumType w:start="1"/>
          <w:cols w:space="720"/>
          <w:docGrid w:type="lines" w:linePitch="341" w:charSpace="2373"/>
        </w:sectPr>
      </w:pPr>
    </w:p>
    <w:p w:rsidR="007A56AE" w:rsidRDefault="007A56AE"/>
    <w:sectPr w:rsidR="007A56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712A"/>
    <w:rsid w:val="007A56AE"/>
    <w:rsid w:val="008E71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71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E71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2563</Characters>
  <Application>Microsoft Office Word</Application>
  <DocSecurity>0</DocSecurity>
  <Lines>21</Lines>
  <Paragraphs>6</Paragraphs>
  <ScaleCrop>false</ScaleCrop>
  <Company>Microsoft</Company>
  <LinksUpToDate>false</LinksUpToDate>
  <CharactersWithSpaces>3006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2023-06-27T10:19:00Z</dcterms:created>
</cp:coreProperties>
</file>