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0FF" w:rsidRDefault="001C50FF" w:rsidP="00DB168A">
      <w:pPr>
        <w:pStyle w:val="1"/>
      </w:pPr>
      <w:r w:rsidRPr="00DB168A">
        <w:t>2023年上半年洪江市市场监督管理局工作总结及下半年工作打算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一、</w:t>
      </w:r>
      <w:r>
        <w:t>2023</w:t>
      </w:r>
      <w:r>
        <w:t>年上半年工作亮点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（一）提高企业开办便利度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一是设立企业开办专区。实行“前台一窗受理、后台并联审批、材料内部流转、统一窗口出件”的工作流程；新企业开办由原来的</w:t>
      </w:r>
      <w:r>
        <w:t>3</w:t>
      </w:r>
      <w:r>
        <w:t>个工作日压缩到</w:t>
      </w:r>
      <w:r>
        <w:t>0.5</w:t>
      </w:r>
      <w:r>
        <w:t>个工作日即可办结。大力推行企业登记注册全程电子化，占业务总量的</w:t>
      </w:r>
      <w:r>
        <w:t>90%</w:t>
      </w:r>
      <w:r>
        <w:t>以上。二是进驻</w:t>
      </w:r>
      <w:r>
        <w:t>24</w:t>
      </w:r>
      <w:r>
        <w:t>小时服务专区。企业可在</w:t>
      </w:r>
      <w:r>
        <w:t>“24</w:t>
      </w:r>
      <w:r>
        <w:t>小时政务服务超市</w:t>
      </w:r>
      <w:r>
        <w:t>”</w:t>
      </w:r>
      <w:r>
        <w:t>服务专区通过企业开办事项的自助设备终端办理相关业务。三是企业开办首套公章免费。免费刻章服务自</w:t>
      </w:r>
      <w:r>
        <w:t>2022</w:t>
      </w:r>
      <w:r>
        <w:t>年实施以来，已有</w:t>
      </w:r>
      <w:r>
        <w:t>199</w:t>
      </w:r>
      <w:r>
        <w:t>家企业享受此惠企政策，新开办企业线上线下均可申请，两小时内即可完成公章刻制。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（二）落实事中事后监管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一方面，强化“双随机、一公开”监管。坚持统一平台，抓牢监管基础。推动各部门使用统一监管平台，建立“一单、两库”，纳入双随机执法人员库中的执法人员</w:t>
      </w:r>
      <w:r>
        <w:t>517</w:t>
      </w:r>
      <w:r>
        <w:t>人，对象库中检查对象达</w:t>
      </w:r>
      <w:r>
        <w:t>36685</w:t>
      </w:r>
      <w:r>
        <w:t>户。坚持联合执法，抓细抽查环节。采取</w:t>
      </w:r>
      <w:r>
        <w:t>“</w:t>
      </w:r>
      <w:r>
        <w:t>定向抽查</w:t>
      </w:r>
      <w:r>
        <w:t>”</w:t>
      </w:r>
      <w:r>
        <w:t>和</w:t>
      </w:r>
      <w:r>
        <w:t>“</w:t>
      </w:r>
      <w:r>
        <w:t>不定向抽查</w:t>
      </w:r>
      <w:r>
        <w:t>”</w:t>
      </w:r>
      <w:r>
        <w:t>相结合的方式，从</w:t>
      </w:r>
      <w:r>
        <w:t>“</w:t>
      </w:r>
      <w:r>
        <w:t>两库</w:t>
      </w:r>
      <w:r>
        <w:t>”</w:t>
      </w:r>
      <w:r>
        <w:t>中随机确定待查对象和执法人员，实行</w:t>
      </w:r>
      <w:r>
        <w:t>“</w:t>
      </w:r>
      <w:r>
        <w:t>双随机、一公开</w:t>
      </w:r>
      <w:r>
        <w:t>”</w:t>
      </w:r>
      <w:r>
        <w:t>抽查，目前已启动任务数</w:t>
      </w:r>
      <w:r>
        <w:t>23</w:t>
      </w:r>
      <w:r>
        <w:t>项。坚持差异监管，实现信用分类。目前，我市</w:t>
      </w:r>
      <w:r>
        <w:t>A</w:t>
      </w:r>
      <w:r>
        <w:t>类企业</w:t>
      </w:r>
      <w:r>
        <w:t>2816</w:t>
      </w:r>
      <w:r>
        <w:t>户、</w:t>
      </w:r>
      <w:r>
        <w:t>B</w:t>
      </w:r>
      <w:r>
        <w:t>类企业</w:t>
      </w:r>
      <w:r>
        <w:t>673</w:t>
      </w:r>
      <w:r>
        <w:t>户、</w:t>
      </w:r>
      <w:r>
        <w:t>C</w:t>
      </w:r>
      <w:r>
        <w:t>类</w:t>
      </w:r>
      <w:r>
        <w:t>263</w:t>
      </w:r>
      <w:r>
        <w:t>户、</w:t>
      </w:r>
      <w:r>
        <w:t>D</w:t>
      </w:r>
      <w:r>
        <w:t>类</w:t>
      </w:r>
      <w:r>
        <w:t>88</w:t>
      </w:r>
      <w:r>
        <w:t>户，真正实现差异化监管，提高信用约束和联合惩戒的力度。另一方面</w:t>
      </w:r>
      <w:r>
        <w:rPr>
          <w:rFonts w:hint="eastAsia"/>
        </w:rPr>
        <w:t>，企业年报和企业信息公示工作。目前，企业应当年报</w:t>
      </w:r>
      <w:r>
        <w:t>3601</w:t>
      </w:r>
      <w:r>
        <w:t>家，已报</w:t>
      </w:r>
      <w:r>
        <w:t>2978</w:t>
      </w:r>
      <w:r>
        <w:t>家，年报率</w:t>
      </w:r>
      <w:r>
        <w:t>82.07%</w:t>
      </w:r>
      <w:r>
        <w:t>；农专应当年报</w:t>
      </w:r>
      <w:r>
        <w:t>790</w:t>
      </w:r>
      <w:r>
        <w:t>家，已报送</w:t>
      </w:r>
      <w:r>
        <w:t>722</w:t>
      </w:r>
      <w:r>
        <w:t>家，年报率</w:t>
      </w:r>
      <w:r>
        <w:t>91.39%</w:t>
      </w:r>
      <w:r>
        <w:t>；个体应当年报</w:t>
      </w:r>
      <w:r>
        <w:t>21044</w:t>
      </w:r>
      <w:r>
        <w:t>家，已报送</w:t>
      </w:r>
      <w:r>
        <w:t>19481</w:t>
      </w:r>
      <w:r>
        <w:t>家，年报率</w:t>
      </w:r>
      <w:r>
        <w:t xml:space="preserve">92.57% </w:t>
      </w:r>
      <w:r>
        <w:t>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二、主要任务完成情况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（一）全面加强政治建设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一是队伍建设全面过硬。市场监管局党组全力打造“市场监管卫士，为民服务先锋”党建特色品牌，不断推动党建与市场监管业务融合共促，在市场监管、优化营商环境等工作中，全方位发挥党建引领作用。二是党风廉政建设全面过硬。结合清廉机关建设，率先在全市推出廉政风险监控工作，找出每个岗位廉政风险点，并制定克服风险点的措施。三是非公党建全面过硬。我局直接管理</w:t>
      </w:r>
      <w:r>
        <w:t>19</w:t>
      </w:r>
      <w:r>
        <w:t>个非公党支部，联系关联党支部</w:t>
      </w:r>
      <w:r>
        <w:t>49</w:t>
      </w:r>
      <w:r>
        <w:t>个，党员</w:t>
      </w:r>
      <w:r>
        <w:t>301</w:t>
      </w:r>
      <w:r>
        <w:t>名，非公党建覆盖率达到</w:t>
      </w:r>
      <w:r>
        <w:t>71.5%</w:t>
      </w:r>
      <w:r>
        <w:t>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（二）全力维护市场秩序</w:t>
      </w:r>
    </w:p>
    <w:p w:rsidR="001C50FF" w:rsidRDefault="001C50FF" w:rsidP="001C50FF">
      <w:pPr>
        <w:ind w:firstLineChars="200" w:firstLine="420"/>
      </w:pPr>
      <w:r>
        <w:rPr>
          <w:rFonts w:ascii="MS Mincho" w:eastAsia="MS Mincho" w:hAnsi="MS Mincho" w:cs="MS Mincho" w:hint="eastAsia"/>
        </w:rPr>
        <w:t>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加强消费者权益保护。目前，</w:t>
      </w:r>
      <w:r>
        <w:t>12315</w:t>
      </w:r>
      <w:r>
        <w:t>平台受理消费者咨询、投诉、举报</w:t>
      </w:r>
      <w:r>
        <w:t>110</w:t>
      </w:r>
      <w:r>
        <w:t>余件，办结率达</w:t>
      </w:r>
      <w:r>
        <w:t>99%</w:t>
      </w:r>
      <w:r>
        <w:t>，为消费者挽回经济损失</w:t>
      </w:r>
      <w:r>
        <w:t>10</w:t>
      </w:r>
      <w:r>
        <w:t>余万元。加强重点领域专项治理力度，深入开展扫黑除恶、长江禁捕、打假治劣、打传规直、价费监管、养老诈骗、虚假违法广告等专项整治</w:t>
      </w:r>
      <w:r>
        <w:t>;</w:t>
      </w:r>
      <w:r>
        <w:t>加强反垄断和反不正当竞争执法；加强网络交易平台监管，本年度日常检查网站</w:t>
      </w:r>
      <w:r>
        <w:t>124</w:t>
      </w:r>
      <w:r>
        <w:t>户次，网店</w:t>
      </w:r>
      <w:r>
        <w:t>132</w:t>
      </w:r>
      <w:r>
        <w:t>户次；加强农资打假工作，出动执法人员</w:t>
      </w:r>
      <w:r>
        <w:t>160</w:t>
      </w:r>
      <w:r>
        <w:t>人次，检查农资经营户</w:t>
      </w:r>
      <w:r>
        <w:t>27</w:t>
      </w:r>
      <w:r>
        <w:t>户次，抽样农资肥料品</w:t>
      </w:r>
      <w:r>
        <w:t>28</w:t>
      </w:r>
      <w:r>
        <w:t>份。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（三）坚决守住安全底线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强化食品安全监管。贯彻落实食品安全“两个责任”，建立食品安全属地管理责任和企业主体责任长效机制（简称“两个责任”机制），确定市、乡、村三级包保责任干部，完成辖区食品生产经营主体分级分类包保，承诺书</w:t>
      </w:r>
      <w:r>
        <w:t>100%</w:t>
      </w:r>
      <w:r>
        <w:t>签订，各包保干部对包保的食品生产经营者每季度开展一次包保督查，并将检查记录录入</w:t>
      </w:r>
      <w:r>
        <w:t>“</w:t>
      </w:r>
      <w:r>
        <w:t>落实食品安全属地管理责任平台</w:t>
      </w:r>
      <w:r>
        <w:t>”</w:t>
      </w:r>
      <w:r>
        <w:t>。强化药品安全监管。一是开展药品安全监管专项行动，重点检查含特殊成份复方制剂药品、疫苗、无证经营检查、非法购进药品等内容。二是开展涉疫药品和医疗用品稳价保质专项行动，立案</w:t>
      </w:r>
      <w:r>
        <w:t>1</w:t>
      </w:r>
      <w:r>
        <w:t>起。三是开展医疗器械质量安</w:t>
      </w:r>
      <w:r>
        <w:rPr>
          <w:rFonts w:hint="eastAsia"/>
        </w:rPr>
        <w:t>全专项整治工作，重点监督检查网络销售医疗器械、无菌植入性医疗器械、集中采购中选医疗器械。强化特种设备安全监管。开展人员密集场所特种设备大检查，检查电梯使用单位</w:t>
      </w:r>
      <w:r>
        <w:t>30</w:t>
      </w:r>
      <w:r>
        <w:t>余家，责令停止使用电梯</w:t>
      </w:r>
      <w:r>
        <w:t>16</w:t>
      </w:r>
      <w:r>
        <w:t>台，立案</w:t>
      </w:r>
      <w:r>
        <w:t>1</w:t>
      </w:r>
      <w:r>
        <w:t>起；开展医用压力容器大检查，检查医院卫生院</w:t>
      </w:r>
      <w:r>
        <w:t>11</w:t>
      </w:r>
      <w:r>
        <w:t>个，发现隐患</w:t>
      </w:r>
      <w:r>
        <w:t>2</w:t>
      </w:r>
      <w:r>
        <w:t>处。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（四）加快推进监管现代化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一是落实“互联网＋监督”。洪江市</w:t>
      </w:r>
      <w:r>
        <w:t>40</w:t>
      </w:r>
      <w:r>
        <w:t>家学校及幼儿园食堂实现</w:t>
      </w:r>
      <w:r>
        <w:t>“</w:t>
      </w:r>
      <w:r>
        <w:t>互联网＋监督（明厨亮灶）</w:t>
      </w:r>
      <w:r>
        <w:t>”</w:t>
      </w:r>
      <w:r>
        <w:t>全覆盖，实现食品安全智慧化监管。二是探索新型监管模式。全面推行以</w:t>
      </w:r>
      <w:r>
        <w:t>“</w:t>
      </w:r>
      <w:r>
        <w:t>双随机、一公开</w:t>
      </w:r>
      <w:r>
        <w:t>”</w:t>
      </w:r>
      <w:r>
        <w:t>监管为基本手段、重点监管为补充、信用监管为基础的新型市场监管模式，三是继续深化综合执法改革，扩大改革范围、增强执法力量、统一执法标准，切实改善多头执法问题。落实</w:t>
      </w:r>
      <w:r>
        <w:t>“</w:t>
      </w:r>
      <w:r>
        <w:t>小错即改</w:t>
      </w:r>
      <w:r>
        <w:t>”“</w:t>
      </w:r>
      <w:r>
        <w:t>首违免罚</w:t>
      </w:r>
      <w:r>
        <w:t>”</w:t>
      </w:r>
      <w:r>
        <w:t>，推行包容审慎监管。</w:t>
      </w:r>
    </w:p>
    <w:p w:rsidR="001C50FF" w:rsidRDefault="001C50FF" w:rsidP="001C50FF">
      <w:pPr>
        <w:ind w:firstLineChars="200" w:firstLine="420"/>
      </w:pPr>
      <w:r>
        <w:rPr>
          <w:rFonts w:ascii="MS Mincho" w:eastAsia="MS Mincho" w:hAnsi="MS Mincho" w:cs="MS Mincho" w:hint="eastAsia"/>
        </w:rPr>
        <w:t>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三、下半年工作的打算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一）聚力维护市场主体稳定发展的环境。进一步优化营商环境，研透指标，细化分解，推进营商环境对标提升工作全面提速。进一步加大服务市场主体力度，持续优化审批服务，加强综合窗口建设，稳步推进“证照分离”、歇业备案登记等改革工作，加大企业开办注销便利度，提升市场主体增长率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二）聚力实施知识产权、质量强县战略。持续深化知识产权领域“放管服”改革，进一步提升知识产权创造、运用、保护、管理和服务水平。指导企业完善标准制定，督促企业严格执行国家相关标准，规范生产行为。严格企业产品质量监管，提升企业质量意识，推动全市产业高质量发展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三）聚力守牢市监监管领域安全底线。坚持“四个最严”标准，持续深入开展“打非治违”、“强执法防事故”、安全隐患大排查等专项行动，切实守住食品、药品、特种设备、产品质量安全底线。推动食品安全“两个责任”落实，扎实开展食品和食用农产品抽检。全覆盖检查辖区内药械经营使用企业，开展药械专项检查和不良反应（事件）监测工作。深化特种设备安全隐患排查治理度，实施特种设备差异化监管。扎实开展产（商）品质量监督抽查，推进事中事后分类监管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四）聚力抓好真抓实干督查激励工作。按照上级监管部门及市委市政府工作要求，完成经营主体培育真抓实干各项指标任务。结合争创示范和真抓实干，全力推进特色亮点工作，大力促进市场主体高质量发展。实施优质企业梯度培育行动和市场主体高质量发展，着重扶持个体工商户发展，加快推进个体经济发展，落实落地稳增长政策措施，培育“个转企”转型发展，激发市场主体活力和发展内生动力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五）聚力维护公平有序的市场秩序。强化公平竞争审查工作，着力营造公平有序竞争环境。重点开展涉企收费、打击侵权、打击假冒伪劣产品专项行动，加强反垄断和反不正当竞争执法，严查商业贿赂、虚假广告、商标侵权、价格欺诈等不正当竞争行为。强化计量检定、网络交易、知识产权监管，建立公平诚信交易制度，规范行政执法维护市场秩序，强化行刑衔接。加强“双随机、一公开”监管和信用监管。</w:t>
      </w:r>
    </w:p>
    <w:p w:rsidR="001C50FF" w:rsidRDefault="001C50FF" w:rsidP="001C50FF">
      <w:pPr>
        <w:ind w:firstLineChars="200" w:firstLine="420"/>
      </w:pPr>
      <w:r>
        <w:rPr>
          <w:rFonts w:hint="eastAsia"/>
        </w:rPr>
        <w:t>（六）聚力提升市场监管综合效能。进一步加强监管执法工作，加大食品、药品、特种设备、产品质量安全领域执法办案力度。加强基层基础建设，提升基层队伍监管执法能力。推进“智慧化</w:t>
      </w:r>
      <w:r>
        <w:t>+</w:t>
      </w:r>
      <w:r>
        <w:t>信用化</w:t>
      </w:r>
      <w:r>
        <w:t>+</w:t>
      </w:r>
      <w:r>
        <w:t>网格化</w:t>
      </w:r>
      <w:r>
        <w:t>”</w:t>
      </w:r>
      <w:r>
        <w:t>监管，强化市场监管所标准化规范化建设工作。强化疫情防控、信访维稳、长江禁捕、文明创建、舆情处置、应急保障等常态化工作。加强法治建设，完善社会共治机制。</w:t>
      </w:r>
    </w:p>
    <w:p w:rsidR="001C50FF" w:rsidRPr="004F5181" w:rsidRDefault="001C50FF" w:rsidP="001C50FF">
      <w:pPr>
        <w:ind w:firstLineChars="200" w:firstLine="420"/>
      </w:pPr>
      <w:r>
        <w:rPr>
          <w:rFonts w:hint="eastAsia"/>
        </w:rPr>
        <w:t>（七）聚力加强机关政治建设。深入学习贯彻党的二十大精神，健全“我为群众办实事”长效机制，深化“三表率一模范”机关建设。深化党支部标准化规范化建设，推进党建工作与业务工作、队伍建设的深度融合。切实加强非公党建工作，重点加强对“小个专”党建工作的组织指导。加强“清廉市监”建设，持续落实“三整顿两提升”。</w:t>
      </w:r>
    </w:p>
    <w:p w:rsidR="001C50FF" w:rsidRDefault="001C50FF" w:rsidP="00DB168A">
      <w:pPr>
        <w:jc w:val="right"/>
      </w:pPr>
      <w:r w:rsidRPr="00DB168A">
        <w:rPr>
          <w:rFonts w:hint="eastAsia"/>
        </w:rPr>
        <w:t>洪江市市场监督管理局</w:t>
      </w:r>
      <w:r>
        <w:rPr>
          <w:rFonts w:hint="eastAsia"/>
        </w:rPr>
        <w:t>2023-6-17</w:t>
      </w:r>
    </w:p>
    <w:p w:rsidR="001C50FF" w:rsidRDefault="001C50FF" w:rsidP="00081A33">
      <w:pPr>
        <w:sectPr w:rsidR="001C50FF" w:rsidSect="00081A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1234" w:rsidRDefault="00BB1234"/>
    <w:sectPr w:rsidR="00BB12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50FF"/>
    <w:rsid w:val="001C50FF"/>
    <w:rsid w:val="00BB1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C50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C50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2496</Characters>
  <Application>Microsoft Office Word</Application>
  <DocSecurity>0</DocSecurity>
  <Lines>20</Lines>
  <Paragraphs>5</Paragraphs>
  <ScaleCrop>false</ScaleCrop>
  <Company>Microsoft</Company>
  <LinksUpToDate>false</LinksUpToDate>
  <CharactersWithSpaces>2928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2023-06-30T06:05:00Z</dcterms:created>
</cp:coreProperties>
</file>