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410" w:rsidRDefault="00442410" w:rsidP="00737D49">
      <w:pPr>
        <w:pStyle w:val="1"/>
      </w:pPr>
      <w:r w:rsidRPr="00737D49">
        <w:rPr>
          <w:rFonts w:hint="eastAsia"/>
        </w:rPr>
        <w:t>南通市</w:t>
      </w:r>
      <w:r>
        <w:rPr>
          <w:rFonts w:hint="eastAsia"/>
        </w:rPr>
        <w:t>关于印发《支持市区都市工业综合体建设实施细则》的通知</w:t>
      </w:r>
    </w:p>
    <w:p w:rsidR="00442410" w:rsidRDefault="00442410" w:rsidP="00442410">
      <w:pPr>
        <w:ind w:firstLineChars="200" w:firstLine="420"/>
        <w:jc w:val="left"/>
      </w:pPr>
      <w:r w:rsidRPr="00737D49">
        <w:rPr>
          <w:rFonts w:hint="eastAsia"/>
        </w:rPr>
        <w:t>通工信发〔</w:t>
      </w:r>
      <w:r w:rsidRPr="00737D49">
        <w:t>2019</w:t>
      </w:r>
      <w:r w:rsidRPr="00737D49">
        <w:t>〕</w:t>
      </w:r>
      <w:r w:rsidRPr="00737D49">
        <w:t>105</w:t>
      </w:r>
      <w:r w:rsidRPr="00737D49">
        <w:t>号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各区工信局、财政局、自然资源局、住房和城乡建设局：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根据市政府主要领导指示精神，在前期出台《市政府关于支持南通市区都市工业综合体建设的意见》（通政发〔</w:t>
      </w:r>
      <w:r>
        <w:t>2019</w:t>
      </w:r>
      <w:r>
        <w:t>〕</w:t>
      </w:r>
      <w:r>
        <w:t>6</w:t>
      </w:r>
      <w:r>
        <w:t>号）的基础上，市工信局、财政局、自然资源局、住房和城乡建设局对《支持市区都市工业综合体建设实施细则》进行了研究论证，现予印发，请遵照执行。</w:t>
      </w:r>
    </w:p>
    <w:p w:rsidR="00442410" w:rsidRDefault="00442410" w:rsidP="00442410">
      <w:pPr>
        <w:ind w:firstLineChars="200" w:firstLine="420"/>
        <w:jc w:val="left"/>
      </w:pPr>
      <w:r>
        <w:t>南通市工业和信息化局</w:t>
      </w:r>
      <w:r>
        <w:t xml:space="preserve">        </w:t>
      </w:r>
      <w:r>
        <w:t>南通市财政局</w:t>
      </w:r>
    </w:p>
    <w:p w:rsidR="00442410" w:rsidRDefault="00442410" w:rsidP="00442410">
      <w:pPr>
        <w:ind w:firstLineChars="200" w:firstLine="420"/>
        <w:jc w:val="left"/>
      </w:pPr>
      <w:r>
        <w:t>南通市自然资源局</w:t>
      </w:r>
      <w:r>
        <w:t xml:space="preserve">           </w:t>
      </w:r>
      <w:r>
        <w:t>南通市住房和城乡建设局</w:t>
      </w:r>
    </w:p>
    <w:p w:rsidR="00442410" w:rsidRDefault="00442410" w:rsidP="00442410">
      <w:pPr>
        <w:ind w:firstLineChars="200" w:firstLine="420"/>
        <w:jc w:val="left"/>
      </w:pPr>
      <w:r>
        <w:t>2019</w:t>
      </w:r>
      <w:r>
        <w:t>年</w:t>
      </w:r>
      <w:r>
        <w:t>6</w:t>
      </w:r>
      <w:r>
        <w:t>月</w:t>
      </w:r>
      <w:r>
        <w:t>17</w:t>
      </w:r>
      <w:r>
        <w:t>日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支持市区都市工业综合体建设实施细则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为加快推动南通市区都市工业综合体（以下简称工业综合体）建设，根据《市政府关于支持南通市区都市工业综合体建设的意见》（通政发〔</w:t>
      </w:r>
      <w:r>
        <w:t>2019</w:t>
      </w:r>
      <w:r>
        <w:t>〕</w:t>
      </w:r>
      <w:r>
        <w:t>6</w:t>
      </w:r>
      <w:r>
        <w:t>号）文件精神，制定本实施细则。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第一章　方案审查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第一条　各区政府（管委会）按照《市政府关于支持南通市区都市工业综合体建设的意见》提出符合条件的项目方案提交市工信部门。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项目方案应包括以下内容：</w:t>
      </w:r>
    </w:p>
    <w:p w:rsidR="00442410" w:rsidRDefault="00442410" w:rsidP="00442410">
      <w:pPr>
        <w:ind w:firstLineChars="200" w:firstLine="420"/>
        <w:jc w:val="left"/>
      </w:pPr>
      <w:r>
        <w:t>1.</w:t>
      </w:r>
      <w:r>
        <w:t>南通市区都市工业综合体项目申请表（详见附件</w:t>
      </w:r>
      <w:r>
        <w:t>1</w:t>
      </w:r>
      <w:r>
        <w:t>）；</w:t>
      </w:r>
    </w:p>
    <w:p w:rsidR="00442410" w:rsidRDefault="00442410" w:rsidP="00442410">
      <w:pPr>
        <w:ind w:firstLineChars="200" w:firstLine="420"/>
        <w:jc w:val="left"/>
      </w:pPr>
      <w:r>
        <w:t>2.</w:t>
      </w:r>
      <w:r>
        <w:t>意向开发企业简介。包括注册地点、注册资金、控股股东和其他出资人基本情况，近三年营业收入、利润、税收情况和所处行业位次，成立以来在园区或工业地产开发运营方面的成功经验或典型案例等；</w:t>
      </w:r>
    </w:p>
    <w:p w:rsidR="00442410" w:rsidRDefault="00442410" w:rsidP="00442410">
      <w:pPr>
        <w:ind w:firstLineChars="200" w:firstLine="420"/>
        <w:jc w:val="left"/>
      </w:pPr>
      <w:r>
        <w:t>3.</w:t>
      </w:r>
      <w:r>
        <w:t>工业综合体项目申请报告。包括项目建设地点、建设内容、计划总投资、资金来源、用地面积、建筑面积、容积率、自持比例及分割销售计划、运营团队、产业招引方向、开发建设起止时间、项目效益测算等；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第二条　市工信部门会同市相关部门对申报材料进行审核，需要时可组织有关专家会审，提交市政府工业综合体联席会议讨论审议，形成联席会会议纪要，市各相关职能部门根据会议纪要依法履行职责。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第二章　土地出让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第三条</w:t>
      </w:r>
      <w:r>
        <w:t xml:space="preserve">  </w:t>
      </w:r>
      <w:r>
        <w:t>工业综合体建设项目用地涉及控制性详细规划调整的，按程序报市政府批准。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第四条　工业综合体项目土地挂牌出让流程按市区现行有关规定执行；市自然资源部门根据项目地块的实际情况拟定具体出让条件，履行报批程序后上市挂牌。土地竞得人须签订工业综合体项目建设承诺书（详见附件</w:t>
      </w:r>
      <w:r>
        <w:t>2</w:t>
      </w:r>
      <w:r>
        <w:t>）。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第三章　服务保障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第五条</w:t>
      </w:r>
      <w:r>
        <w:t xml:space="preserve">  </w:t>
      </w:r>
      <w:r>
        <w:t>在符合设计规范和国家有关消防技术标准的条件下，开发企业可根据入驻企业对厂房的个性化需求进行设计建造，市自然资源、住建、行政审批等部门应在规划许可、施工图审查等过程中予以支持。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第六条</w:t>
      </w:r>
      <w:r>
        <w:t xml:space="preserve">  </w:t>
      </w:r>
      <w:r>
        <w:t>根据土地出让合同约定，销售对象由属地政府（管委会）书面确认后，市住建部门应予以支持。项目分割销售按幢、层进行分割转让和产权登记。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第七条</w:t>
      </w:r>
      <w:r>
        <w:t xml:space="preserve">  </w:t>
      </w:r>
      <w:r>
        <w:t>属地政府（管委会）应指导工业综合体项目运营机构合理规划产业布局，引导产业功能相近的企业相对集中，入驻对象应是符合项目产业定位的企业法人。运营机构应细化项目招商、运营管理工作方案，为入驻企业提供创业辅导、人才引进、科技创新、政策对接、法律咨询、市场开拓等公共服务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第八条</w:t>
      </w:r>
      <w:r>
        <w:t xml:space="preserve">  </w:t>
      </w:r>
      <w:r>
        <w:t>市金融监管、财政部门要定期组织各类基金公司、风险投资机构、商业银行、融资担保公司、小额贷款公司、融资租赁公司、商业保理公司等金融服务机构开展专题融资对接活动，为工业综合体内初创型、科技型企业提供优质金融服务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第四章　政策兑现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第九条</w:t>
      </w:r>
      <w:r>
        <w:t xml:space="preserve">  </w:t>
      </w:r>
      <w:r>
        <w:t>每年</w:t>
      </w:r>
      <w:r>
        <w:t>6</w:t>
      </w:r>
      <w:r>
        <w:t>月底前，运营机构向所在区财政部门、工信部门提交整体亩均税收奖励申请，填写申请表（详见附件</w:t>
      </w:r>
      <w:r>
        <w:t>3</w:t>
      </w:r>
      <w:r>
        <w:t>），并附完税凭证；区财政部门、工信部门会同区自然资源部门、税务部门对项目进行复核，面积以工业用地面积计算，由区自然资源部门盖章确认，税收计算企业所得税、增值税两个税种，由区税务部门盖章确认；计算整体亩均税收（不含不动产交易税收），按达</w:t>
      </w:r>
      <w:r>
        <w:t>10</w:t>
      </w:r>
      <w:r>
        <w:t>万元、</w:t>
      </w:r>
      <w:r>
        <w:t>20</w:t>
      </w:r>
      <w:r>
        <w:t>万元、</w:t>
      </w:r>
      <w:r>
        <w:t>30</w:t>
      </w:r>
      <w:r>
        <w:t>万元分别奖励当年地方财政贡献额的</w:t>
      </w:r>
      <w:r>
        <w:t>10%</w:t>
      </w:r>
      <w:r>
        <w:t>、</w:t>
      </w:r>
      <w:r>
        <w:t>15%</w:t>
      </w:r>
      <w:r>
        <w:t>、</w:t>
      </w:r>
      <w:r>
        <w:t>20%</w:t>
      </w:r>
      <w:r>
        <w:t>标准提出奖励意见，提交市财政部门、工信部门审定。区级财政部门按市审定的金额拨付给运营机构，年底</w:t>
      </w:r>
      <w:r>
        <w:rPr>
          <w:rFonts w:hint="eastAsia"/>
        </w:rPr>
        <w:t>按现行财政体制分担原则进行结算。奖励期自工业综合体项目竣工次年开始计算，</w:t>
      </w:r>
      <w:r>
        <w:t>10</w:t>
      </w:r>
      <w:r>
        <w:t>年内享受该政策。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第十条　每年</w:t>
      </w:r>
      <w:r>
        <w:t>6</w:t>
      </w:r>
      <w:r>
        <w:t>月底前，运营机构对上年新入驻企业租赁情况进行汇总，向区财政部门、工信部门提交企业租赁补助申请，填写申请表（详见附件</w:t>
      </w:r>
      <w:r>
        <w:t>4</w:t>
      </w:r>
      <w:r>
        <w:t>），并附租赁合同和租金付款凭证。区财政部门、工信部门对入驻企业租赁情况进行复核，根据企业类型和租赁厂房面积大小按年每平方米</w:t>
      </w:r>
      <w:r>
        <w:t>100</w:t>
      </w:r>
      <w:r>
        <w:t>元、</w:t>
      </w:r>
      <w:r>
        <w:t>70</w:t>
      </w:r>
      <w:r>
        <w:t>元、</w:t>
      </w:r>
      <w:r>
        <w:t>40</w:t>
      </w:r>
      <w:r>
        <w:t>元的补助标准提出补助意见，由所在区政府（管委会）审定后拨付给入驻企业，补助资金由所在区政府（管委会）承担。租赁厂房补助期</w:t>
      </w:r>
      <w:r>
        <w:t>3</w:t>
      </w:r>
      <w:r>
        <w:t>年，自企业首次入驻当年开始计算，第</w:t>
      </w:r>
      <w:r>
        <w:t>4</w:t>
      </w:r>
      <w:r>
        <w:t>年开始不再享受。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第五章　监督管理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第十一条</w:t>
      </w:r>
      <w:r>
        <w:t xml:space="preserve">  </w:t>
      </w:r>
      <w:r>
        <w:t>项目开发企业在通过土地市场竞得土地使用权后，根据挂牌文件和土地出让合同约定，向属地政府（管委会）缴纳相应的开工、竣工保证金后，应按期开工建设。区工信部门要加强项目的跟踪管理，准确掌握项目推进情况和建设进度。开发企业未按期开工建设的，开工保证金不予退还，未按约定如期竣工的，竣工保证金不予退还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第十二条　开发企业必须加强项目建设期间的施工安全、消防、环保等管理；项目建成后，入驻企业必须做好入驻场所的安全生产、消防、环保工作；项目所在地区政府（管委会）必须加强对工业综合体的监督管理，督促开发企业、运营机构和入驻企业做好安全生产、消防、环保工作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第十三条</w:t>
      </w:r>
      <w:r>
        <w:t xml:space="preserve">  </w:t>
      </w:r>
      <w:r>
        <w:t>承租人和出售对象必须为工业生产性企业、生产性服务业企业、研发机构、服务机构法人，开发运营机构应严格执行规定，不得向个人出租出售。项目生产用房必须坚持工业用地性质不变，不得有居住功能设施，禁止煤气接入，禁止违规变性改作商办。所在地区政府（管委会）必须做到全过程监管，与开发运营机构签订协议，明确违约责任，防止用地性质和产业功能偏离规划，确保业态稳定和工业用地的性质不变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第十四条</w:t>
      </w:r>
      <w:r>
        <w:t xml:space="preserve">  </w:t>
      </w:r>
      <w:r>
        <w:t>工业综合体项目须在土地出让合同中明确是否同意转让、可转让面积和最小单元，转让对象须经项目所在地区政府（管委会）书面确认同意后方可进行网上合同备案。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第十五条</w:t>
      </w:r>
      <w:r>
        <w:t xml:space="preserve"> </w:t>
      </w:r>
      <w:r>
        <w:t>对开发企业自持部分厂房由不动产登记部门依申请核发不动产权证，用途按规划用途登记。所有自持房屋须整体申请办理不动产权登记，不动产登记部门发放一本不动产权证，并在不动产权证书</w:t>
      </w:r>
      <w:r>
        <w:t>“</w:t>
      </w:r>
      <w:r>
        <w:t>附记</w:t>
      </w:r>
      <w:r>
        <w:t>”</w:t>
      </w:r>
      <w:r>
        <w:t>栏中注明不得转让，不得分割抵押。工业用地范围内的生产厂房（含研发）在取得不动产权证五年内自持比例不低于总建筑面积的</w:t>
      </w:r>
      <w:r>
        <w:t>50%</w:t>
      </w:r>
      <w:r>
        <w:t>，第六年起自持比例不低于总建筑面积的</w:t>
      </w:r>
      <w:r>
        <w:t>30%</w:t>
      </w:r>
      <w:r>
        <w:t>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第十六条</w:t>
      </w:r>
      <w:r>
        <w:t xml:space="preserve">  </w:t>
      </w:r>
      <w:r>
        <w:t>购买厂房者入驻后，项目所在地区政府（管委会）应组织生态环境、应急管理部门进行二次验收，验收合格后方可运营。购买厂房者二次转让时，仍须经项目所在地区政府（管委会）书面确认同意后方可提交市不动产部门进行产权登记，以确保资产用途不变和业态稳定，入驻企业符合相关准入要求。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第六章　附则</w:t>
      </w:r>
    </w:p>
    <w:p w:rsidR="00442410" w:rsidRDefault="00442410" w:rsidP="00442410">
      <w:pPr>
        <w:ind w:firstLineChars="200" w:firstLine="420"/>
        <w:jc w:val="left"/>
      </w:pPr>
      <w:r>
        <w:rPr>
          <w:rFonts w:hint="eastAsia"/>
        </w:rPr>
        <w:t>第十七条本实施细则由南通市工信局负责解释，自印发之日起执行。</w:t>
      </w:r>
    </w:p>
    <w:p w:rsidR="00442410" w:rsidRDefault="00442410" w:rsidP="00737D49">
      <w:pPr>
        <w:jc w:val="right"/>
      </w:pPr>
      <w:r w:rsidRPr="00737D49">
        <w:rPr>
          <w:rFonts w:hint="eastAsia"/>
        </w:rPr>
        <w:t>南通市工业和信息化局</w:t>
      </w:r>
      <w:r w:rsidRPr="00737D49">
        <w:t>2019-08-27</w:t>
      </w:r>
    </w:p>
    <w:p w:rsidR="00442410" w:rsidRDefault="00442410" w:rsidP="00A74E13">
      <w:pPr>
        <w:sectPr w:rsidR="00442410" w:rsidSect="00A74E1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05DC" w:rsidRDefault="00C105DC"/>
    <w:sectPr w:rsidR="00C105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42410"/>
    <w:rsid w:val="00442410"/>
    <w:rsid w:val="00C105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424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4241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416</Words>
  <Characters>2376</Characters>
  <Application>Microsoft Office Word</Application>
  <DocSecurity>0</DocSecurity>
  <Lines>19</Lines>
  <Paragraphs>5</Paragraphs>
  <ScaleCrop>false</ScaleCrop>
  <Company>Microsoft</Company>
  <LinksUpToDate>false</LinksUpToDate>
  <CharactersWithSpaces>2787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2023-06-08T07:50:00Z</dcterms:created>
</cp:coreProperties>
</file>