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5A19" w:rsidRDefault="00AC5A19" w:rsidP="003E062D">
      <w:pPr>
        <w:pStyle w:val="1"/>
      </w:pPr>
      <w:r w:rsidRPr="00B4792F">
        <w:rPr>
          <w:rFonts w:hint="eastAsia"/>
        </w:rPr>
        <w:t>汉中市市场监管局立足职能</w:t>
      </w:r>
      <w:r w:rsidRPr="00B4792F">
        <w:t xml:space="preserve"> 持续推动营商环境突破年活动走深走实</w:t>
      </w:r>
    </w:p>
    <w:p w:rsidR="00AC5A19" w:rsidRDefault="00AC5A19" w:rsidP="00AC5A19">
      <w:pPr>
        <w:ind w:firstLineChars="200" w:firstLine="420"/>
      </w:pPr>
      <w:r>
        <w:rPr>
          <w:rFonts w:hint="eastAsia"/>
        </w:rPr>
        <w:t>今年以来，汉中市市场监管局按照省、市营商环境突破年工作安排，充分发挥职能优势，以更高标准、更大力度、更实举措，激发主体活力、提高监管效能、提振市场信心，推进市场监管领域优化营商环境突破年活动走深走实。全市市场主体持续保持了较快增长态势，结构和活跃度进一步优化、提升。</w:t>
      </w:r>
      <w:r>
        <w:t>1—5</w:t>
      </w:r>
      <w:r>
        <w:t>月，新登记市场主体</w:t>
      </w:r>
      <w:r>
        <w:t>5.70</w:t>
      </w:r>
      <w:r>
        <w:t>万户，其中企业</w:t>
      </w:r>
      <w:r>
        <w:t>4017</w:t>
      </w:r>
      <w:r>
        <w:t>户，同比分别增长</w:t>
      </w:r>
      <w:r>
        <w:t>58.44%</w:t>
      </w:r>
      <w:r>
        <w:t>、</w:t>
      </w:r>
      <w:r>
        <w:t>8.04%</w:t>
      </w:r>
      <w:r>
        <w:t>，市场主体总量达到</w:t>
      </w:r>
      <w:r>
        <w:t>40.16</w:t>
      </w:r>
      <w:r>
        <w:t>万户、扶持</w:t>
      </w:r>
      <w:r>
        <w:t>298</w:t>
      </w:r>
      <w:r>
        <w:t>户个体工商户转型升级为企业、鼓励</w:t>
      </w:r>
      <w:r>
        <w:t>10</w:t>
      </w:r>
      <w:r>
        <w:t>户小微企业规范化升级为规模以上工业企业。</w:t>
      </w:r>
    </w:p>
    <w:p w:rsidR="00AC5A19" w:rsidRDefault="00AC5A19" w:rsidP="00AC5A19">
      <w:pPr>
        <w:ind w:firstLineChars="200" w:firstLine="420"/>
      </w:pPr>
      <w:r>
        <w:rPr>
          <w:rFonts w:hint="eastAsia"/>
        </w:rPr>
        <w:t>加大培育壮大市场主体力度</w:t>
      </w:r>
    </w:p>
    <w:p w:rsidR="00AC5A19" w:rsidRDefault="00AC5A19" w:rsidP="00AC5A19">
      <w:pPr>
        <w:ind w:firstLineChars="200" w:firstLine="420"/>
      </w:pPr>
      <w:r>
        <w:rPr>
          <w:rFonts w:hint="eastAsia"/>
        </w:rPr>
        <w:t>进一步激发各类市场活力</w:t>
      </w:r>
    </w:p>
    <w:p w:rsidR="00AC5A19" w:rsidRDefault="00AC5A19" w:rsidP="00AC5A19">
      <w:pPr>
        <w:ind w:firstLineChars="200" w:firstLine="420"/>
      </w:pPr>
      <w:r>
        <w:rPr>
          <w:rFonts w:hint="eastAsia"/>
        </w:rPr>
        <w:t>锚定促进市场主体“总量扩张、质量提升”目标，全力推进《汉中市市场主体培育倍增及优化结构行动方案》落实、见效，印发了《汉中市培育壮大市场主体暨扶持个体工商户发展</w:t>
      </w:r>
      <w:r>
        <w:t>40</w:t>
      </w:r>
      <w:r>
        <w:t>条措施》《汉中市</w:t>
      </w:r>
      <w:r>
        <w:t>2023</w:t>
      </w:r>
      <w:r>
        <w:t>年市场主体培育工作重点任务清单》，努力营造宽松的营商环境，激发全社会投资创业热情；完善市场主体培育工作机制组织机构，在市市场主体培育领导小组下成立市扶持个体工商户发展领导小组；认真组织召开全市市场主体培育倍增及优化结构联席会议</w:t>
      </w:r>
      <w:r>
        <w:t>2023</w:t>
      </w:r>
      <w:r>
        <w:t>年第一次、第二次调度会，通报工作任务完成情况、分析存在问题、研究提出整改措施，安排下一步</w:t>
      </w:r>
      <w:r>
        <w:rPr>
          <w:rFonts w:hint="eastAsia"/>
        </w:rPr>
        <w:t>工作；积极承办全省登记注册业务培训班，同步开展全市登记注册业务线上线下培训，切实提高各登记注册窗口服务水平；持续推进“证照分离”改革、“一件事一次办”等系列举措，进一步简化登记手续、登记流程，企业开办用时压缩到</w:t>
      </w:r>
      <w:r>
        <w:t>1-1.5</w:t>
      </w:r>
      <w:r>
        <w:t>个工作日；全力以赴推进年报服务工作，提升市场主体活跃度和存活率，截至</w:t>
      </w:r>
      <w:r>
        <w:t>6</w:t>
      </w:r>
      <w:r>
        <w:t>月</w:t>
      </w:r>
      <w:r>
        <w:t>1</w:t>
      </w:r>
      <w:r>
        <w:t>日，全市各类市场主体年度率为：企业</w:t>
      </w:r>
      <w:r>
        <w:t>80.39%</w:t>
      </w:r>
      <w:r>
        <w:t>、农专</w:t>
      </w:r>
      <w:r>
        <w:t xml:space="preserve">81.96% </w:t>
      </w:r>
      <w:r>
        <w:t>、个体</w:t>
      </w:r>
      <w:r>
        <w:t>71.04%</w:t>
      </w:r>
      <w:r>
        <w:t>，均居全省第</w:t>
      </w:r>
      <w:r>
        <w:t>2</w:t>
      </w:r>
      <w:r>
        <w:t>位。</w:t>
      </w:r>
    </w:p>
    <w:p w:rsidR="00AC5A19" w:rsidRDefault="00AC5A19" w:rsidP="00AC5A19">
      <w:pPr>
        <w:ind w:firstLineChars="200" w:firstLine="420"/>
      </w:pPr>
      <w:r>
        <w:rPr>
          <w:rFonts w:hint="eastAsia"/>
        </w:rPr>
        <w:t>扎实开展稳商助企活动</w:t>
      </w:r>
    </w:p>
    <w:p w:rsidR="00AC5A19" w:rsidRDefault="00AC5A19" w:rsidP="00AC5A19">
      <w:pPr>
        <w:ind w:firstLineChars="200" w:firstLine="420"/>
      </w:pPr>
      <w:r>
        <w:rPr>
          <w:rFonts w:hint="eastAsia"/>
        </w:rPr>
        <w:t>为企业破笼减负</w:t>
      </w:r>
    </w:p>
    <w:p w:rsidR="00AC5A19" w:rsidRDefault="00AC5A19" w:rsidP="00AC5A19">
      <w:pPr>
        <w:ind w:firstLineChars="200" w:firstLine="420"/>
      </w:pPr>
      <w:r>
        <w:rPr>
          <w:rFonts w:hint="eastAsia"/>
        </w:rPr>
        <w:t>将“稳商助企”“进知解”（“进万家门、知万家情、解万家难”）等亲商助商活动与培育壮大市场主体工作紧密结合，帮助企业解难题、谋发展；建成运行“汉质享”</w:t>
      </w:r>
      <w:r>
        <w:t>NQI</w:t>
      </w:r>
      <w:r>
        <w:t>质量基础设施</w:t>
      </w:r>
      <w:r>
        <w:t>“</w:t>
      </w:r>
      <w:r>
        <w:t>一站式</w:t>
      </w:r>
      <w:r>
        <w:t>”</w:t>
      </w:r>
      <w:r>
        <w:t>服务平台</w:t>
      </w:r>
      <w:r>
        <w:t>,</w:t>
      </w:r>
      <w:r>
        <w:t>充分发挥</w:t>
      </w:r>
      <w:r>
        <w:t>“</w:t>
      </w:r>
      <w:r>
        <w:t>线上平台</w:t>
      </w:r>
      <w:r>
        <w:t>+</w:t>
      </w:r>
      <w:r>
        <w:t>线下站点</w:t>
      </w:r>
      <w:r>
        <w:t>”</w:t>
      </w:r>
      <w:r>
        <w:t>融合效应和市、县、镇三级市场监管联动作用，以</w:t>
      </w:r>
      <w:r>
        <w:t>“</w:t>
      </w:r>
      <w:r>
        <w:t>套餐式、零距离</w:t>
      </w:r>
      <w:r>
        <w:t>”</w:t>
      </w:r>
      <w:r>
        <w:t>服务理念对企业进行精准高效的质量问诊和技术帮扶；加强信用修复、市场主体歇业退出、企业信用风险分类管理等制度建设；开展涉企收费专项整治，对违法违规收费</w:t>
      </w:r>
      <w:r>
        <w:t>“</w:t>
      </w:r>
      <w:r>
        <w:t>零容忍</w:t>
      </w:r>
      <w:r>
        <w:t>”</w:t>
      </w:r>
      <w:r>
        <w:t>，会同发改、工信、财政等部门建立涉企收费联动机制，实现信息共享，形成了执</w:t>
      </w:r>
      <w:r>
        <w:rPr>
          <w:rFonts w:hint="eastAsia"/>
        </w:rPr>
        <w:t>法合力，加大日常巡察力度，摸排违规收费线索，严厉查处在“转供电”环节擅自加价违法行为，今年以来，责令转供电主体退还超标准收取电费</w:t>
      </w:r>
      <w:r>
        <w:t>121.94</w:t>
      </w:r>
      <w:r>
        <w:t>万元，惠及小微企业、个体工商户</w:t>
      </w:r>
      <w:r>
        <w:t>2000</w:t>
      </w:r>
      <w:r>
        <w:t>多户。</w:t>
      </w:r>
    </w:p>
    <w:p w:rsidR="00AC5A19" w:rsidRDefault="00AC5A19" w:rsidP="00AC5A19">
      <w:pPr>
        <w:ind w:firstLineChars="200" w:firstLine="420"/>
      </w:pPr>
      <w:r>
        <w:rPr>
          <w:rFonts w:hint="eastAsia"/>
        </w:rPr>
        <w:t>创新监管机制</w:t>
      </w:r>
    </w:p>
    <w:p w:rsidR="00AC5A19" w:rsidRDefault="00AC5A19" w:rsidP="00AC5A19">
      <w:pPr>
        <w:ind w:firstLineChars="200" w:firstLine="420"/>
      </w:pPr>
      <w:r>
        <w:rPr>
          <w:rFonts w:hint="eastAsia"/>
        </w:rPr>
        <w:t>营造公平竞争市场环境</w:t>
      </w:r>
    </w:p>
    <w:p w:rsidR="00AC5A19" w:rsidRDefault="00AC5A19" w:rsidP="00AC5A19">
      <w:pPr>
        <w:ind w:firstLineChars="200" w:firstLine="420"/>
      </w:pPr>
      <w:r>
        <w:rPr>
          <w:rFonts w:hint="eastAsia"/>
        </w:rPr>
        <w:t>持续推进“双随机、一公开”监管工作全覆盖、常态化、规范化，大力推行“信用</w:t>
      </w:r>
      <w:r>
        <w:t>+</w:t>
      </w:r>
      <w:r>
        <w:t>双随机</w:t>
      </w:r>
      <w:r>
        <w:t>”</w:t>
      </w:r>
      <w:r>
        <w:t>新型监管模式，提高监管效能，制定</w:t>
      </w:r>
      <w:r>
        <w:t>2023</w:t>
      </w:r>
      <w:r>
        <w:t>年双随机抽查计划（第一批）</w:t>
      </w:r>
      <w:r>
        <w:t>1099</w:t>
      </w:r>
      <w:r>
        <w:t>个，启动</w:t>
      </w:r>
      <w:r>
        <w:t>700</w:t>
      </w:r>
      <w:r>
        <w:t>个，抽取检查对象</w:t>
      </w:r>
      <w:r>
        <w:t>5823</w:t>
      </w:r>
      <w:r>
        <w:t>个，公示检查结果</w:t>
      </w:r>
      <w:r>
        <w:t>2606</w:t>
      </w:r>
      <w:r>
        <w:t>条；全面开展各级公平竞争审查工作，全力扫除一切制约经济发展的政策障碍；推行首违轻微违法行为免予处罚工作制度，对侵害群众利益、破坏市场规则的严重违法行为快查快办，加大打击力度，今年以来，依法查处各类市场违法案件</w:t>
      </w:r>
      <w:r>
        <w:t>416</w:t>
      </w:r>
      <w:r>
        <w:t>件，其中，实施不予处罚</w:t>
      </w:r>
      <w:r>
        <w:t>16</w:t>
      </w:r>
      <w:r>
        <w:t>件、减轻处罚</w:t>
      </w:r>
      <w:r>
        <w:t>61</w:t>
      </w:r>
      <w:r>
        <w:t>件、从轻处罚</w:t>
      </w:r>
      <w:r>
        <w:t>31</w:t>
      </w:r>
      <w:r>
        <w:t>件、从重处罚</w:t>
      </w:r>
      <w:r>
        <w:t>4</w:t>
      </w:r>
      <w:r>
        <w:t>件，</w:t>
      </w:r>
      <w:r>
        <w:rPr>
          <w:rFonts w:hint="eastAsia"/>
        </w:rPr>
        <w:t>公开发布落实包容审慎监管与严重违法行为从重处罚典型案例一期</w:t>
      </w:r>
      <w:r>
        <w:t>5</w:t>
      </w:r>
      <w:r>
        <w:t>件，全面引导市场主体合法守规经营，积极构建法治化营商环境。</w:t>
      </w:r>
    </w:p>
    <w:p w:rsidR="00AC5A19" w:rsidRDefault="00AC5A19" w:rsidP="00AC5A19">
      <w:pPr>
        <w:ind w:firstLineChars="200" w:firstLine="420"/>
      </w:pPr>
      <w:r>
        <w:rPr>
          <w:rFonts w:hint="eastAsia"/>
        </w:rPr>
        <w:t>加强知识产权保护</w:t>
      </w:r>
    </w:p>
    <w:p w:rsidR="00AC5A19" w:rsidRDefault="00AC5A19" w:rsidP="00AC5A19">
      <w:pPr>
        <w:ind w:firstLineChars="200" w:firstLine="420"/>
      </w:pPr>
      <w:r>
        <w:rPr>
          <w:rFonts w:hint="eastAsia"/>
        </w:rPr>
        <w:t>激发创新动能</w:t>
      </w:r>
    </w:p>
    <w:p w:rsidR="00AC5A19" w:rsidRDefault="00AC5A19" w:rsidP="00AC5A19">
      <w:pPr>
        <w:ind w:firstLineChars="200" w:firstLine="420"/>
      </w:pPr>
      <w:r>
        <w:rPr>
          <w:rFonts w:hint="eastAsia"/>
        </w:rPr>
        <w:t>在南郑工业园区设立知识产权发展服务中心及知识产权维权援助工作站和南郑区知识产权纠纷调解委员会，探索知识产权保护新方法新模式；举办</w:t>
      </w:r>
      <w:r>
        <w:t>2023</w:t>
      </w:r>
      <w:r>
        <w:t>年汉中市知识产权工作推进会暨知识产权助力企业高质量发展培训会，对</w:t>
      </w:r>
      <w:r>
        <w:t>2022</w:t>
      </w:r>
      <w:r>
        <w:t>年专利转化、知识产权质押融资和知识产权贯标成功的</w:t>
      </w:r>
      <w:r>
        <w:t>13</w:t>
      </w:r>
      <w:r>
        <w:t>户企业进行了现场补助授牌，奖补金额约</w:t>
      </w:r>
      <w:r>
        <w:t>64</w:t>
      </w:r>
      <w:r>
        <w:t>万元，其中一家企业成功转化高校</w:t>
      </w:r>
      <w:r>
        <w:t>5</w:t>
      </w:r>
      <w:r>
        <w:t>件专利，获得</w:t>
      </w:r>
      <w:r>
        <w:t>18</w:t>
      </w:r>
      <w:r>
        <w:t>万元奖补。</w:t>
      </w:r>
    </w:p>
    <w:p w:rsidR="00AC5A19" w:rsidRDefault="00AC5A19" w:rsidP="00AC5A19">
      <w:pPr>
        <w:ind w:firstLineChars="200" w:firstLine="420"/>
      </w:pPr>
      <w:r>
        <w:rPr>
          <w:rFonts w:hint="eastAsia"/>
        </w:rPr>
        <w:t>下一步，汉中市市场监管局将按照中省市关于优化营商环境工作的安排部署，以问题为导向，持续深化商事制度改革，做好市场主体培育和发展，继续深入推进《汉中市市场主体培育倍增及优化结构行动方案》实施；持续推进“双随机、一公开”监管全覆盖、常态化，全力推进“信用</w:t>
      </w:r>
      <w:r>
        <w:t>+</w:t>
      </w:r>
      <w:r>
        <w:t>双随机</w:t>
      </w:r>
      <w:r>
        <w:t>”</w:t>
      </w:r>
      <w:r>
        <w:t>监管，扎实做好市场主体信用分级分类，切实提升监管效能；强化涉企信息归集共享，夯实监管数据基础，全力推动涉企信息</w:t>
      </w:r>
      <w:r>
        <w:t>“</w:t>
      </w:r>
      <w:r>
        <w:t>应归尽归</w:t>
      </w:r>
      <w:r>
        <w:t>”</w:t>
      </w:r>
      <w:r>
        <w:t>，确保各类主体年报率继续保持全省第一方阵；发挥信用约束作用，落实失信联合惩戒各项措施，加强市场主体经营异常名录和严重违法失信企</w:t>
      </w:r>
      <w:r>
        <w:rPr>
          <w:rFonts w:hint="eastAsia"/>
        </w:rPr>
        <w:t>业名单管理，进一步强化失信联合惩戒措施；继续推进信用承诺制度，推动在企业登记注册、行政审批、信用修复等事前事中事后监管等环节信用承诺，强化企业信用意识，强化信用约束、社会监督；持续开展“五星创建双强争优”，强化“小个专”党组织建设、党员队伍教育管理、作用发挥，促进非公有制经济健康发展。</w:t>
      </w:r>
    </w:p>
    <w:p w:rsidR="00AC5A19" w:rsidRPr="00B4792F" w:rsidRDefault="00AC5A19" w:rsidP="00B4792F">
      <w:pPr>
        <w:ind w:firstLine="420"/>
        <w:jc w:val="right"/>
      </w:pPr>
      <w:r w:rsidRPr="00B4792F">
        <w:rPr>
          <w:rFonts w:hint="eastAsia"/>
        </w:rPr>
        <w:t>汉中市市场监督管理局</w:t>
      </w:r>
      <w:r>
        <w:rPr>
          <w:rFonts w:hint="eastAsia"/>
        </w:rPr>
        <w:t>2023-6-5</w:t>
      </w:r>
    </w:p>
    <w:p w:rsidR="00AC5A19" w:rsidRDefault="00AC5A19" w:rsidP="003E062D">
      <w:pPr>
        <w:sectPr w:rsidR="00AC5A19" w:rsidSect="003E062D">
          <w:type w:val="continuous"/>
          <w:pgSz w:w="11906" w:h="16838"/>
          <w:pgMar w:top="1644" w:right="1236" w:bottom="1418" w:left="1814" w:header="851" w:footer="907" w:gutter="0"/>
          <w:pgNumType w:start="1"/>
          <w:cols w:space="720"/>
          <w:docGrid w:type="lines" w:linePitch="341" w:charSpace="2373"/>
        </w:sectPr>
      </w:pPr>
    </w:p>
    <w:p w:rsidR="007F5E03" w:rsidRDefault="007F5E03"/>
    <w:sectPr w:rsidR="007F5E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5A19"/>
    <w:rsid w:val="007F5E03"/>
    <w:rsid w:val="00AC5A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5A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C5A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1756</Characters>
  <Application>Microsoft Office Word</Application>
  <DocSecurity>0</DocSecurity>
  <Lines>14</Lines>
  <Paragraphs>4</Paragraphs>
  <ScaleCrop>false</ScaleCrop>
  <Company>Microsoft</Company>
  <LinksUpToDate>false</LinksUpToDate>
  <CharactersWithSpaces>2059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2023-06-07T08:34:00Z</dcterms:created>
</cp:coreProperties>
</file>