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7F12" w:rsidRDefault="00E67F12" w:rsidP="00767E88">
      <w:pPr>
        <w:pStyle w:val="1"/>
        <w:spacing w:line="245" w:lineRule="auto"/>
      </w:pPr>
      <w:r w:rsidRPr="0085001A">
        <w:rPr>
          <w:rFonts w:hint="eastAsia"/>
        </w:rPr>
        <w:t>江西宜春</w:t>
      </w:r>
      <w:r w:rsidRPr="0085001A">
        <w:t>:深化重点行业领域腐败和作风问题专项整治</w:t>
      </w:r>
    </w:p>
    <w:p w:rsidR="00E67F12" w:rsidRDefault="00E67F12" w:rsidP="00E67F12">
      <w:pPr>
        <w:spacing w:line="245" w:lineRule="auto"/>
        <w:ind w:firstLineChars="200" w:firstLine="420"/>
        <w:jc w:val="left"/>
      </w:pPr>
      <w:r>
        <w:rPr>
          <w:rFonts w:hint="eastAsia"/>
        </w:rPr>
        <w:t>因借医院发展建设之机与不法商人大搞权钱交易，大肆收受巨额贿赂等问题，江西省宜春市妇幼保健院原院长汤某被开除党籍、取消退休待遇。此后不久，原宜春市卫计委正县级干部林某、丰城市卫健委原四级调研员陈某和宜春市卫健委原一级主任科员丁某相继主动投案。这是该市医疗卫生领域腐败和作风问题专项整治工作成效的一个缩影。</w:t>
      </w:r>
    </w:p>
    <w:p w:rsidR="00E67F12" w:rsidRDefault="00E67F12" w:rsidP="00E67F12">
      <w:pPr>
        <w:spacing w:line="245" w:lineRule="auto"/>
        <w:ind w:firstLineChars="200" w:firstLine="420"/>
        <w:jc w:val="left"/>
      </w:pPr>
      <w:r>
        <w:rPr>
          <w:rFonts w:hint="eastAsia"/>
        </w:rPr>
        <w:t>重点行业领域权力集中、资金密集、资源富集，违纪违法问题易发多发，群众反映强烈。宜春市纪委市监委立足“监督的再监督”职责定位，运用</w:t>
      </w:r>
      <w:r>
        <w:t xml:space="preserve"> “</w:t>
      </w:r>
      <w:r>
        <w:t>全周期管理</w:t>
      </w:r>
      <w:r>
        <w:t>”</w:t>
      </w:r>
      <w:r>
        <w:t>方式一体推进</w:t>
      </w:r>
      <w:r>
        <w:t>“</w:t>
      </w:r>
      <w:r>
        <w:t>三不腐</w:t>
      </w:r>
      <w:r>
        <w:t>”</w:t>
      </w:r>
      <w:r>
        <w:t>，开展了医疗卫生、国企、乡村振兴、高标准农田、工程项目建设等重点行业领域腐败和作风问题专项整治，推动解决了一些行业、领域、地域长期存在的顽瘴痼疾。</w:t>
      </w:r>
    </w:p>
    <w:p w:rsidR="00E67F12" w:rsidRDefault="00E67F12" w:rsidP="00E67F12">
      <w:pPr>
        <w:spacing w:line="245" w:lineRule="auto"/>
        <w:ind w:firstLineChars="200" w:firstLine="420"/>
        <w:jc w:val="left"/>
      </w:pPr>
      <w:r>
        <w:rPr>
          <w:rFonts w:hint="eastAsia"/>
        </w:rPr>
        <w:t>专项整治，关键在“专”，目标在治。该市坚持强化办案这个有力的监督手段，是什么问题就解决什么问题，什么问题突出就集中解决什么问题。在国企领域，聚焦靠企吃企、设租寻租、关联交易、利益输送等腐败问题，严肃查处政商勾结、权钱交易、利益输送等严重违纪违法行为，斩断“影子股东”“期权腐败”等利益输送链条；在工程建设和公共资源交易领域，紧盯招标投标、资金管理、施工监理、工程建设、项目验收等重点环节的腐败问题和不正之风，严肃查处“靠工程吃工程”、风腐一体、不收敛不收手等突出问题；在高标准农田建设、乡村振兴等领域，严肃查处优亲厚友、截留挪用、侵吞公共资产等腐败问题。</w:t>
      </w:r>
    </w:p>
    <w:p w:rsidR="00E67F12" w:rsidRDefault="00E67F12" w:rsidP="00E67F12">
      <w:pPr>
        <w:spacing w:line="245" w:lineRule="auto"/>
        <w:ind w:firstLineChars="200" w:firstLine="420"/>
        <w:jc w:val="left"/>
      </w:pPr>
      <w:r>
        <w:rPr>
          <w:rFonts w:hint="eastAsia"/>
        </w:rPr>
        <w:t>在持续形成不敢腐震慑的同时，该市深入剖析腐败问题背后的制度缺失和监管漏洞，举一反三、建章立制，深化以案促改、促建、促治。督促市政府及市行政审批、住建、交通等职能部门梳理分析公共资源交易领域廉政风险点，深入查找体制机制方面原因，研究出台《宜春市公共资源监督管理暂行办法》等一系列制度文件；推动市医疗卫生系统针对行业内暗箱操作、收受回扣等行为频发，监管流于形式等突出问题，制定并严格落实“三单一图”（权力清单、廉政风险清单、风险防控清单，权力运行流程图）机制，强化制度约束和过程监管，确保权力规范运行；此外，在查办财政、国企、粮食购销领域等相关腐败案件过程中，同步梳理该领域存在的问题，及时向相关部门提出纪检监察建议</w:t>
      </w:r>
      <w:r>
        <w:t>13</w:t>
      </w:r>
      <w:r>
        <w:t>份。</w:t>
      </w:r>
    </w:p>
    <w:p w:rsidR="00E67F12" w:rsidRDefault="00E67F12" w:rsidP="00E67F12">
      <w:pPr>
        <w:spacing w:line="245" w:lineRule="auto"/>
        <w:ind w:firstLineChars="200" w:firstLine="420"/>
        <w:jc w:val="left"/>
      </w:pPr>
      <w:r>
        <w:rPr>
          <w:rFonts w:hint="eastAsia"/>
        </w:rPr>
        <w:t>一体推进“三不腐”，不想腐是根本。该市抓住不想腐这个根本，区分不同行业、领域、群体，分级分类开展警示教育，变“大水漫灌”为“精准滴灌”。创新市管干部严重违纪违法典型案件警示教育材料汇编形式，除分类梳理审查调查对象的忏悔书、检讨书及案件剖析材料以外，还针对审查调查对象走上违纪违法道路的思想根源、主客观原因开展警示点评，整理汇编成册后在一定范围内发放，用身边案警示教育身边人；针对查办的市财政局原局长林某、市发投集团原党委书记、董事长邹某等案件暴露的突出问题，先后在全市财政系统、国资国企系统召开警示教育大会，通报案件情况、剖析违纪违法原因并播放警示教育片，与会人员纷纷表示，身临其境接受了一次刻骨铭心的警示教育。</w:t>
      </w:r>
    </w:p>
    <w:p w:rsidR="00E67F12" w:rsidRDefault="00E67F12" w:rsidP="00E67F12">
      <w:pPr>
        <w:spacing w:line="245" w:lineRule="auto"/>
        <w:ind w:firstLineChars="200" w:firstLine="420"/>
        <w:jc w:val="left"/>
      </w:pPr>
      <w:r>
        <w:rPr>
          <w:rFonts w:hint="eastAsia"/>
        </w:rPr>
        <w:t>“专项整治，重在持续发力、久久为功。”该市纪委市监委相关负责人表示，我们将始终突出问题导向，坚持一个问题一个问题解决、一个领域一个领域突破，把专项整治同常态化治理结合起来，系统施治、标本兼治，以整治新成效推动取得更多制度性成果和更大治理效能。</w:t>
      </w:r>
    </w:p>
    <w:p w:rsidR="00E67F12" w:rsidRPr="0085001A" w:rsidRDefault="00E67F12" w:rsidP="00E67F12">
      <w:pPr>
        <w:spacing w:line="245" w:lineRule="auto"/>
        <w:ind w:firstLineChars="200" w:firstLine="420"/>
        <w:jc w:val="right"/>
      </w:pPr>
      <w:r w:rsidRPr="009C32FB">
        <w:rPr>
          <w:rFonts w:hint="eastAsia"/>
        </w:rPr>
        <w:t>中央纪委国家监委网站</w:t>
      </w:r>
      <w:r w:rsidRPr="009C32FB">
        <w:t>2023-05-06</w:t>
      </w:r>
    </w:p>
    <w:p w:rsidR="00E67F12" w:rsidRDefault="00E67F12" w:rsidP="00876770">
      <w:pPr>
        <w:sectPr w:rsidR="00E67F12" w:rsidSect="00876770">
          <w:type w:val="continuous"/>
          <w:pgSz w:w="11906" w:h="16838"/>
          <w:pgMar w:top="1644" w:right="1236" w:bottom="1418" w:left="1814" w:header="851" w:footer="907" w:gutter="0"/>
          <w:pgNumType w:start="1"/>
          <w:cols w:space="720"/>
          <w:docGrid w:type="lines" w:linePitch="341" w:charSpace="2373"/>
        </w:sectPr>
      </w:pPr>
    </w:p>
    <w:p w:rsidR="00DB7190" w:rsidRDefault="00DB7190"/>
    <w:sectPr w:rsidR="00DB71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7F12"/>
    <w:rsid w:val="00DB7190"/>
    <w:rsid w:val="00E67F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7F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7F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1170</Characters>
  <Application>Microsoft Office Word</Application>
  <DocSecurity>0</DocSecurity>
  <Lines>9</Lines>
  <Paragraphs>2</Paragraphs>
  <ScaleCrop>false</ScaleCrop>
  <Company>Microsoft</Company>
  <LinksUpToDate>false</LinksUpToDate>
  <CharactersWithSpaces>1373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2023-05-16T03:11:00Z</dcterms:created>
</cp:coreProperties>
</file>