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0453" w:rsidRDefault="00C60453" w:rsidP="005462C5">
      <w:pPr>
        <w:pStyle w:val="1"/>
        <w:spacing w:line="245" w:lineRule="auto"/>
      </w:pPr>
      <w:r>
        <w:rPr>
          <w:rFonts w:hint="eastAsia"/>
        </w:rPr>
        <w:t>重庆丰都县分类施策推动扶贫项目资产管理</w:t>
      </w:r>
    </w:p>
    <w:p w:rsidR="00C60453" w:rsidRDefault="00C60453" w:rsidP="00C60453">
      <w:pPr>
        <w:spacing w:line="245" w:lineRule="auto"/>
        <w:ind w:firstLineChars="200" w:firstLine="420"/>
        <w:jc w:val="left"/>
      </w:pPr>
      <w:r>
        <w:rPr>
          <w:rFonts w:hint="eastAsia"/>
        </w:rPr>
        <w:t>重庆市丰都县持续抓好扶贫项目资产管理，分类探索不同类型项目资产管理模式与路径，推动实现到户类资产焕发活力、公益性资产持续发挥效益、经营性资产接续保值增值。</w:t>
      </w:r>
    </w:p>
    <w:p w:rsidR="00C60453" w:rsidRDefault="00C60453" w:rsidP="00C60453">
      <w:pPr>
        <w:spacing w:line="245" w:lineRule="auto"/>
        <w:ind w:firstLineChars="200" w:firstLine="420"/>
        <w:jc w:val="left"/>
      </w:pPr>
      <w:r>
        <w:rPr>
          <w:rFonts w:hint="eastAsia"/>
        </w:rPr>
        <w:t>发展新农人，构建到户类资产管理主骨架。建立“新农人</w:t>
      </w:r>
      <w:r>
        <w:t>+</w:t>
      </w:r>
      <w:r>
        <w:t>村集体</w:t>
      </w:r>
      <w:r>
        <w:t>+</w:t>
      </w:r>
      <w:r>
        <w:t>农户</w:t>
      </w:r>
      <w:r>
        <w:t>”</w:t>
      </w:r>
      <w:r>
        <w:t>联农带农机制，将到户类资产管理指导服务作为发放新农人贷、支持涉农项目等事项的重要依据，激励引导新农人全面参与到户类资产管理，培育新农人</w:t>
      </w:r>
      <w:r>
        <w:t>727</w:t>
      </w:r>
      <w:r>
        <w:t>个，指导带动</w:t>
      </w:r>
      <w:r>
        <w:t>800</w:t>
      </w:r>
      <w:r>
        <w:t>个到户类资产规范管理。整合农业、畜牧、职教、科技等资源，成立新农人专项资金和新农人服务团、新农人互助会，分行业建立</w:t>
      </w:r>
      <w:r>
        <w:t>5</w:t>
      </w:r>
      <w:r>
        <w:t>个县级专家库，选聘专家</w:t>
      </w:r>
      <w:r>
        <w:t>105</w:t>
      </w:r>
      <w:r>
        <w:t>人，实施新农人打工式培训，为新农人和广大群众提供到户类资产管理指导服务。</w:t>
      </w:r>
    </w:p>
    <w:p w:rsidR="00C60453" w:rsidRDefault="00C60453" w:rsidP="00C60453">
      <w:pPr>
        <w:spacing w:line="245" w:lineRule="auto"/>
        <w:ind w:firstLineChars="200" w:firstLine="420"/>
        <w:jc w:val="left"/>
      </w:pPr>
      <w:r>
        <w:rPr>
          <w:rFonts w:hint="eastAsia"/>
        </w:rPr>
        <w:t>探索新机制，畅通公益性资产管理微循环。加大城乡统筹力度，推动县属国有企业加快接管农村公益性资产，小一型、小二型水库交由县农发集团管护运营，农村集中供水设施纳入县水务集团城乡供水一体化改革范围。打通公益性、经营性资产管护资金池，统筹安排涉农资金</w:t>
      </w:r>
      <w:r>
        <w:t>2200</w:t>
      </w:r>
      <w:r>
        <w:t>万元，开发公益性岗位</w:t>
      </w:r>
      <w:r>
        <w:t>3168</w:t>
      </w:r>
      <w:r>
        <w:t>个，用于公益性资产管理</w:t>
      </w:r>
      <w:r>
        <w:t>2165</w:t>
      </w:r>
      <w:r>
        <w:t>个；全面落实农村小型集中式供水工程水费收取制度，实施公司化运营，实现辖区内公益性资产管护占补平衡。积极推动乡村建设与乡村治理融合发展，将公益性资产管理纳入乡村治理</w:t>
      </w:r>
      <w:r>
        <w:t>“</w:t>
      </w:r>
      <w:r>
        <w:t>积分制</w:t>
      </w:r>
      <w:r>
        <w:t>”“</w:t>
      </w:r>
      <w:r>
        <w:t>清单制</w:t>
      </w:r>
      <w:r>
        <w:t>”“</w:t>
      </w:r>
      <w:r>
        <w:t>院落制</w:t>
      </w:r>
      <w:r>
        <w:t>”</w:t>
      </w:r>
      <w:r>
        <w:t>等重要内</w:t>
      </w:r>
      <w:r>
        <w:rPr>
          <w:rFonts w:hint="eastAsia"/>
        </w:rPr>
        <w:t>容，落实奖补资金</w:t>
      </w:r>
      <w:r>
        <w:t>626</w:t>
      </w:r>
      <w:r>
        <w:t>万元，充分激发群众参与公益性资产管理积极性。</w:t>
      </w:r>
    </w:p>
    <w:p w:rsidR="00C60453" w:rsidRDefault="00C60453" w:rsidP="00C60453">
      <w:pPr>
        <w:spacing w:line="245" w:lineRule="auto"/>
        <w:ind w:firstLineChars="200" w:firstLine="420"/>
        <w:jc w:val="left"/>
      </w:pPr>
      <w:r>
        <w:rPr>
          <w:rFonts w:hint="eastAsia"/>
        </w:rPr>
        <w:t>培育新业态，实现经营性资产管理保值增值。对脱贫攻坚期间形成的畜禽养殖场、加工厂等</w:t>
      </w:r>
      <w:r>
        <w:t>3.8</w:t>
      </w:r>
      <w:r>
        <w:t>亿元重资产，积极引进华裕农科、温氏肉鸡、北京德青源、重庆农投等国家级龙头企业租赁经营和全链条发展，每年按</w:t>
      </w:r>
      <w:r>
        <w:t>8%</w:t>
      </w:r>
      <w:r>
        <w:t>左右比例固定收取租金，助推畜禽产业做大做强。引进京东入驻三建乡龙河流域电商集配中心，吸引</w:t>
      </w:r>
      <w:r>
        <w:t>6</w:t>
      </w:r>
      <w:r>
        <w:t>家网红入驻直播带货，带动三建笋竹、栗子大米、青脆李、黑花生等扶贫产业项目基地长效运营，丰都麻辣鸡产业园异军突起，产值达</w:t>
      </w:r>
      <w:r>
        <w:t>2700</w:t>
      </w:r>
      <w:r>
        <w:t>万元。用好股权量化、</w:t>
      </w:r>
      <w:r>
        <w:t>“</w:t>
      </w:r>
      <w:r>
        <w:t>三变</w:t>
      </w:r>
      <w:r>
        <w:t>”</w:t>
      </w:r>
      <w:r>
        <w:t>改革、东西部协作等分散经营性资产，积极发展休闲观光、康养旅游、科普研学</w:t>
      </w:r>
      <w:r>
        <w:rPr>
          <w:rFonts w:hint="eastAsia"/>
        </w:rPr>
        <w:t>等多功能农业，推动城郊“都市农业”、中山农旅融合产业持续壮大，枣丰协作农业高新技术产业园成为东西部产业协作典范。</w:t>
      </w:r>
    </w:p>
    <w:p w:rsidR="00C60453" w:rsidRDefault="00C60453" w:rsidP="00C60453">
      <w:pPr>
        <w:spacing w:line="245" w:lineRule="auto"/>
        <w:ind w:firstLineChars="200"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2023-05-12</w:t>
      </w:r>
    </w:p>
    <w:p w:rsidR="00C60453" w:rsidRPr="00006A44" w:rsidRDefault="00C60453" w:rsidP="00C60453">
      <w:pPr>
        <w:spacing w:line="245" w:lineRule="auto"/>
        <w:ind w:firstLineChars="200" w:firstLine="420"/>
        <w:jc w:val="right"/>
      </w:pPr>
    </w:p>
    <w:p w:rsidR="00C60453" w:rsidRDefault="00C60453" w:rsidP="002273B2">
      <w:pPr>
        <w:sectPr w:rsidR="00C60453" w:rsidSect="002273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A7A1D" w:rsidRDefault="00FA7A1D"/>
    <w:sectPr w:rsidR="00FA7A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0453"/>
    <w:rsid w:val="00C60453"/>
    <w:rsid w:val="00FA7A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04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604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>Microsoft</Company>
  <LinksUpToDate>false</LinksUpToDate>
  <CharactersWithSpaces>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2023-05-19T07:00:00Z</dcterms:created>
</cp:coreProperties>
</file>