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8DF" w:rsidRDefault="009F78DF" w:rsidP="00D211D5">
      <w:pPr>
        <w:pStyle w:val="1"/>
      </w:pPr>
      <w:r w:rsidRPr="00D211D5">
        <w:rPr>
          <w:rFonts w:hint="eastAsia"/>
        </w:rPr>
        <w:t>晋江市场监管局：优化营商环境，促进民营企业高质量发展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福建省晋江市市场监管局认真贯彻落实“深学争优、敢为争先、实干争效”行动部署，围绕激发市场主体的发展活力、竞争活力、创新活力、质量提升活力，竭尽全力支持民营企业发展，打造企业更满意、活力更充盈的营商环境，让企业在晋江安心创业、放手发展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优化审批服务，激发大众创业热情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登记窗口是服务企业群众的最前沿。该局着力打造行政高效、办事便利的准入（准出）环境，激发创业创新活力。</w:t>
      </w:r>
      <w:r>
        <w:t>2023</w:t>
      </w:r>
      <w:r>
        <w:t>年以来全市新增市场主体</w:t>
      </w:r>
      <w:r>
        <w:t>13441</w:t>
      </w:r>
      <w:r>
        <w:t>家，同比增加</w:t>
      </w:r>
      <w:r>
        <w:t>3.86%</w:t>
      </w:r>
      <w:r>
        <w:t>。全市共有市场主体</w:t>
      </w:r>
      <w:r>
        <w:t>29.1</w:t>
      </w:r>
      <w:r>
        <w:t>万户，其中民营企业</w:t>
      </w:r>
      <w:r>
        <w:t>9.1</w:t>
      </w:r>
      <w:r>
        <w:t>万户，个体工商户</w:t>
      </w:r>
      <w:r>
        <w:t>19.5</w:t>
      </w:r>
      <w:r>
        <w:t>万户。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增主体。出台《晋江市</w:t>
      </w:r>
      <w:r>
        <w:t>2023</w:t>
      </w:r>
      <w:r>
        <w:t>年市场主体倍增行动方案》，把培育壮大市场主体作为工作重点，推动各镇（街道）、相关部门开展纾困帮扶减负工作，提振企业发展信心，力争</w:t>
      </w:r>
      <w:r>
        <w:t>2023</w:t>
      </w:r>
      <w:r>
        <w:t>年全市新增市场主体</w:t>
      </w:r>
      <w:r>
        <w:t>5.5</w:t>
      </w:r>
      <w:r>
        <w:t>万户。出台《支持个体工商户发展的若干措施》，</w:t>
      </w:r>
      <w:r>
        <w:t>2023</w:t>
      </w:r>
      <w:r>
        <w:t>年以来共有</w:t>
      </w:r>
      <w:r>
        <w:t>46</w:t>
      </w:r>
      <w:r>
        <w:t>户个体工商户升级为企业。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提效能。开展窗口“五比五看”活动，比先进、比专业、比服务、比创新、比实绩，打造窗口服务新名片。推行“网上办”“一次办”“自助办”，将企业登记、申领发票、社保登记、住房公积金缴存登记等纳入线下“一窗通办”，在全市配备了</w:t>
      </w:r>
      <w:r>
        <w:t>18</w:t>
      </w:r>
      <w:r>
        <w:t>台</w:t>
      </w:r>
      <w:r>
        <w:t>“</w:t>
      </w:r>
      <w:r>
        <w:t>个体工商户自助登记打照机</w:t>
      </w:r>
      <w:r>
        <w:t>”</w:t>
      </w:r>
      <w:r>
        <w:t>（其中</w:t>
      </w:r>
      <w:r>
        <w:t>2</w:t>
      </w:r>
      <w:r>
        <w:t>台位于</w:t>
      </w:r>
      <w:r>
        <w:t>24</w:t>
      </w:r>
      <w:r>
        <w:t>小时自助服务区）。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优服务。探索行政审批跨区域办理，允许各个市场监管所相关行政许可审批事项互通互办。推进市场监管领域市场准营“一业一证”改革，将多张许可证整合为一张《行业综合许可证》，大幅提升办证速度和便利度。成立市场监管“晋企先锋服务团”，开展上门服务、上门宣传等活动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完善知产链条，优化创新发展环境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知识产权是企业强有力的竞争武器。该局积极推进知识产权强市战略，建立良好的知识产权生态。晋江市获评国家知识产权强县建设示范县，入选国家第一批知识产权纠纷快速处理试点地区。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量质齐抓，知识产权创造全面开花。采取政策激励、线上培训、入企引导等举措，鼓励企业加强知识产权创造。截至目前，晋江市专利授权量达</w:t>
      </w:r>
      <w:r>
        <w:t>11271</w:t>
      </w:r>
      <w:r>
        <w:t>项，每万人有效发明专利拥有量</w:t>
      </w:r>
      <w:r>
        <w:t>15.57</w:t>
      </w:r>
      <w:r>
        <w:t>件。全市共有有效注册商标</w:t>
      </w:r>
      <w:r>
        <w:t>187131</w:t>
      </w:r>
      <w:r>
        <w:t>件，有中国驰名商标</w:t>
      </w:r>
      <w:r>
        <w:t>46</w:t>
      </w:r>
      <w:r>
        <w:t>件、马德里国际注册商标</w:t>
      </w:r>
      <w:r>
        <w:t>409</w:t>
      </w:r>
      <w:r>
        <w:t>件、地理标志商标</w:t>
      </w:r>
      <w:r>
        <w:t>13</w:t>
      </w:r>
      <w:r>
        <w:t>件。累计培育认定国家知识产权示范（优势）企业</w:t>
      </w:r>
      <w:r>
        <w:t>14</w:t>
      </w:r>
      <w:r>
        <w:t>家，</w:t>
      </w:r>
      <w:r>
        <w:t>“</w:t>
      </w:r>
      <w:r>
        <w:t>企业知识产权管理规范</w:t>
      </w:r>
      <w:r>
        <w:t>”</w:t>
      </w:r>
      <w:r>
        <w:t>贯标认证企业</w:t>
      </w:r>
      <w:r>
        <w:t>128</w:t>
      </w:r>
      <w:r>
        <w:t>家。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多面联动，知识产权运用显著增强。创建了“知创晋江”公共服务平台，涵盖数据统计分析、政务服务、交易、诉调对接等系统，为企业提供全链条知识产权综合服务。建设知识产权运营服务集聚区，设置</w:t>
      </w:r>
      <w:r>
        <w:t>4</w:t>
      </w:r>
      <w:r>
        <w:t>类奖补项目，以政策优势打造</w:t>
      </w:r>
      <w:r>
        <w:t>“</w:t>
      </w:r>
      <w:r>
        <w:t>强磁场</w:t>
      </w:r>
      <w:r>
        <w:t>”</w:t>
      </w:r>
      <w:r>
        <w:t>，引入一批知识产权运营服务机构。开展发明专利挖掘培育项目，联合福州大学先进制造学院、知识产权代理机构等单位开展</w:t>
      </w:r>
      <w:r>
        <w:t>“</w:t>
      </w:r>
      <w:r>
        <w:t>博士进企</w:t>
      </w:r>
      <w:r>
        <w:t xml:space="preserve"> </w:t>
      </w:r>
      <w:r>
        <w:t>赋能创新</w:t>
      </w:r>
      <w:r>
        <w:t>”</w:t>
      </w:r>
      <w:r>
        <w:t>活动，加快知识产权转化运用。推动知识产权金融服务，促成晋江豪新食品园与晋江农商行签约知识产权授信</w:t>
      </w:r>
      <w:r>
        <w:t>10</w:t>
      </w:r>
      <w:r>
        <w:t>亿；全市办理大额质押贷款专利达</w:t>
      </w:r>
      <w:r>
        <w:t>79</w:t>
      </w:r>
      <w:r>
        <w:t>个，累计贴息补助</w:t>
      </w:r>
      <w:r>
        <w:t>500</w:t>
      </w:r>
      <w:r>
        <w:t>多</w:t>
      </w:r>
      <w:r>
        <w:rPr>
          <w:rFonts w:hint="eastAsia"/>
        </w:rPr>
        <w:t>万元。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多元化解，知识产权保护更加高效。发挥国家级知识产权快速维权中心作用，建立外观设计专利快速预审“绿色”通道，自</w:t>
      </w:r>
      <w:r>
        <w:t>2022</w:t>
      </w:r>
      <w:r>
        <w:t>年</w:t>
      </w:r>
      <w:r>
        <w:t>9</w:t>
      </w:r>
      <w:r>
        <w:t>月开展预审以来，已完成备案</w:t>
      </w:r>
      <w:r>
        <w:t>151</w:t>
      </w:r>
      <w:r>
        <w:t>家，外观专利授权量</w:t>
      </w:r>
      <w:r>
        <w:t>225</w:t>
      </w:r>
      <w:r>
        <w:t>件，平均授权周期缩短至</w:t>
      </w:r>
      <w:r>
        <w:t>10</w:t>
      </w:r>
      <w:r>
        <w:t>个工作日，实现最快</w:t>
      </w:r>
      <w:r>
        <w:t>2</w:t>
      </w:r>
      <w:r>
        <w:t>天授权。成立晋江市知识产权人民调解委员会，推动知识产权纠纷行政、司法、人民调解有效衔接。成立中国泉州知识产权保护中心晋江工作站，进一步强化区域知识产权协同保护工作。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夯实质量基础，推动民营企业高质量发展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质量是市场竞争的核心。作为质量强市的牵头部门，该局在依职责加强产品质量监管的同时，注重加强对企业质量发展的支持和帮扶。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激发企业质量发展动力。近三年，该局累计为企业兑现质量和标准建设政策奖励资金</w:t>
      </w:r>
      <w:r>
        <w:t>2447</w:t>
      </w:r>
      <w:r>
        <w:t>万元。鼓励和引导骨干企业、优势企业参与各级标准制修订，增强行业话语权。全市共有</w:t>
      </w:r>
      <w:r>
        <w:t>13</w:t>
      </w:r>
      <w:r>
        <w:t>个国家级、省级专标委秘书处及工作组，累计有企业</w:t>
      </w:r>
      <w:r>
        <w:t>6</w:t>
      </w:r>
      <w:r>
        <w:t>家次参与</w:t>
      </w:r>
      <w:r>
        <w:t>5</w:t>
      </w:r>
      <w:r>
        <w:t>项国际标准、</w:t>
      </w:r>
      <w:r>
        <w:t>472</w:t>
      </w:r>
      <w:r>
        <w:t>家次参与</w:t>
      </w:r>
      <w:r>
        <w:t>335</w:t>
      </w:r>
      <w:r>
        <w:t>项国家标准、</w:t>
      </w:r>
      <w:r>
        <w:t>459</w:t>
      </w:r>
      <w:r>
        <w:t>家次参与</w:t>
      </w:r>
      <w:r>
        <w:t>286</w:t>
      </w:r>
      <w:r>
        <w:t>项行业标准、</w:t>
      </w:r>
      <w:r>
        <w:t>99</w:t>
      </w:r>
      <w:r>
        <w:t>家次参与</w:t>
      </w:r>
      <w:r>
        <w:t>35</w:t>
      </w:r>
      <w:r>
        <w:t>项地方标准、</w:t>
      </w:r>
      <w:r>
        <w:t>213</w:t>
      </w:r>
      <w:r>
        <w:t>家次参与</w:t>
      </w:r>
      <w:r>
        <w:t>125</w:t>
      </w:r>
      <w:r>
        <w:t>项团体标准制修订，</w:t>
      </w:r>
      <w:r>
        <w:t>“</w:t>
      </w:r>
      <w:r>
        <w:t>晋江标准</w:t>
      </w:r>
      <w:r>
        <w:t>”</w:t>
      </w:r>
      <w:r>
        <w:t>数量持续位居全省前列。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构建质量发展服务体系。设立</w:t>
      </w:r>
      <w:r>
        <w:t>4</w:t>
      </w:r>
      <w:r>
        <w:t>个</w:t>
      </w:r>
      <w:r>
        <w:t>“</w:t>
      </w:r>
      <w:r>
        <w:t>一站式</w:t>
      </w:r>
      <w:r>
        <w:t>”</w:t>
      </w:r>
      <w:r>
        <w:t>质量基础设施服务站，为企业提供登记注册、质量、计量、标准、知识产权等方面高效便捷服务。</w:t>
      </w:r>
      <w:r>
        <w:t>2022</w:t>
      </w:r>
      <w:r>
        <w:t>年以来，联合省纤维检验中心，组织</w:t>
      </w:r>
      <w:r>
        <w:t>30</w:t>
      </w:r>
      <w:r>
        <w:t>批次省级专家服务团开展质量帮扶</w:t>
      </w:r>
      <w:r>
        <w:t>“</w:t>
      </w:r>
      <w:r>
        <w:t>提质强企</w:t>
      </w:r>
      <w:r>
        <w:t>”</w:t>
      </w:r>
      <w:r>
        <w:t>巡回问诊，为</w:t>
      </w:r>
      <w:r>
        <w:t>200</w:t>
      </w:r>
      <w:r>
        <w:t>余家企业解决技术问题</w:t>
      </w:r>
      <w:r>
        <w:t>300</w:t>
      </w:r>
      <w:r>
        <w:t>余项，帮助制修订</w:t>
      </w:r>
      <w:r>
        <w:t>21</w:t>
      </w:r>
      <w:r>
        <w:t>份企业标准或团体标准。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坚守质量安全底线。坚守食品、药械、工业产品质量、特种设备四条安全底线，加大重点领域违法行为的查处打击力度。建成“食安晋江”智慧监管平台，利用互联网、视频监控、</w:t>
      </w:r>
      <w:r>
        <w:t>AI</w:t>
      </w:r>
      <w:r>
        <w:t>智能分析等技术手段对餐饮服务单位食品安全进行智能化、可视化、数字化监管。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规范市场秩序，助力民营企业降本增效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市场环境可预期，发展成本降下来，企业才更有活力。该局把减轻企业负担、规范市场秩序作为重要任务持续抓好。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清理涉企违规收费行为。围绕政府部门及下属单位、行业协会商会、交通物流、水电气及商业银行等</w:t>
      </w:r>
      <w:r>
        <w:t>5</w:t>
      </w:r>
      <w:r>
        <w:t>个涉企收费领域，深入开展涉企违规收费治理专项行动，</w:t>
      </w:r>
      <w:r>
        <w:t>2023</w:t>
      </w:r>
      <w:r>
        <w:t>年以来累计检查涉企收费主体</w:t>
      </w:r>
      <w:r>
        <w:t>32</w:t>
      </w:r>
      <w:r>
        <w:t>家次。市质量计量检测所执行降费政策，减轻企业负担，</w:t>
      </w:r>
      <w:r>
        <w:t>2023</w:t>
      </w:r>
      <w:r>
        <w:t>年以来为企业减收（减免）质量检验、计量强制检定费用</w:t>
      </w:r>
      <w:r>
        <w:t>82.1</w:t>
      </w:r>
      <w:r>
        <w:t>万元，惠及企业</w:t>
      </w:r>
      <w:r>
        <w:t>250</w:t>
      </w:r>
      <w:r>
        <w:t>家。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宽严相济实施市场监管。牵头成立公平竞争审查联席会，组织开展预防和制止滥用行政权力排除、限制竞争工作，</w:t>
      </w:r>
      <w:r>
        <w:t>2023</w:t>
      </w:r>
      <w:r>
        <w:t>年以来共审查各类涉法事项文件</w:t>
      </w:r>
      <w:r>
        <w:t>38</w:t>
      </w:r>
      <w:r>
        <w:t>件。严查侵权假冒行为，</w:t>
      </w:r>
      <w:r>
        <w:t>2023</w:t>
      </w:r>
      <w:r>
        <w:t>年以来立案查处商标侵权、专利假冒等案件</w:t>
      </w:r>
      <w:r>
        <w:t>42</w:t>
      </w:r>
      <w:r>
        <w:t>件。实施包容审慎监管，落实省市场监管领域行政执法裁量</w:t>
      </w:r>
      <w:r>
        <w:t>“</w:t>
      </w:r>
      <w:r>
        <w:t>四张清单</w:t>
      </w:r>
      <w:r>
        <w:t>”</w:t>
      </w:r>
      <w:r>
        <w:t>，共对</w:t>
      </w:r>
      <w:r>
        <w:t>38</w:t>
      </w:r>
      <w:r>
        <w:t>个违法行为适用轻微免罚。</w:t>
      </w:r>
    </w:p>
    <w:p w:rsidR="009F78DF" w:rsidRDefault="009F78DF" w:rsidP="009F78DF">
      <w:pPr>
        <w:ind w:firstLineChars="200" w:firstLine="420"/>
      </w:pPr>
      <w:r>
        <w:rPr>
          <w:rFonts w:hint="eastAsia"/>
        </w:rPr>
        <w:t>全面助力企业信用修复。该局出台“优化企业信用修复十条措施”，鼓励违法失信当事人主动纠正违法失信行为、消除不良影响、重塑良好信用。对符合信用修复条件的市场主体应修复尽修复，助力企业快速信用修复。</w:t>
      </w:r>
      <w:r>
        <w:t>2023</w:t>
      </w:r>
      <w:r>
        <w:t>年以来共办理企业移除经营异常名录、提前停止公示行政处罚案件信息等信用修复</w:t>
      </w:r>
      <w:r>
        <w:t>636</w:t>
      </w:r>
      <w:r>
        <w:t>条，修复市场主体</w:t>
      </w:r>
      <w:r>
        <w:t>310</w:t>
      </w:r>
      <w:r>
        <w:t>户。</w:t>
      </w:r>
    </w:p>
    <w:p w:rsidR="009F78DF" w:rsidRDefault="009F78DF" w:rsidP="00D211D5">
      <w:pPr>
        <w:ind w:firstLine="420"/>
        <w:jc w:val="right"/>
      </w:pPr>
      <w:r w:rsidRPr="00D211D5">
        <w:rPr>
          <w:rFonts w:hint="eastAsia"/>
        </w:rPr>
        <w:t>晋江市场监管局</w:t>
      </w:r>
      <w:r>
        <w:rPr>
          <w:rFonts w:hint="eastAsia"/>
        </w:rPr>
        <w:t>2023-4-10</w:t>
      </w:r>
    </w:p>
    <w:p w:rsidR="009F78DF" w:rsidRDefault="009F78DF" w:rsidP="004F639A">
      <w:pPr>
        <w:sectPr w:rsidR="009F78DF" w:rsidSect="004F63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2175E" w:rsidRDefault="0012175E"/>
    <w:sectPr w:rsidR="001217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78DF"/>
    <w:rsid w:val="0012175E"/>
    <w:rsid w:val="009F78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78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78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2163</Characters>
  <Application>Microsoft Office Word</Application>
  <DocSecurity>0</DocSecurity>
  <Lines>18</Lines>
  <Paragraphs>5</Paragraphs>
  <ScaleCrop>false</ScaleCrop>
  <Company>Microsoft</Company>
  <LinksUpToDate>false</LinksUpToDate>
  <CharactersWithSpaces>2537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2023-04-18T09:06:00Z</dcterms:created>
</cp:coreProperties>
</file>