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0A8D" w:rsidRDefault="00EA0A8D" w:rsidP="0000480B">
      <w:pPr>
        <w:pStyle w:val="1"/>
      </w:pPr>
      <w:r>
        <w:rPr>
          <w:rFonts w:hint="eastAsia"/>
        </w:rPr>
        <w:t>伪满皇宫博物院：</w:t>
      </w:r>
      <w:r w:rsidRPr="0000480B">
        <w:rPr>
          <w:rFonts w:hint="eastAsia"/>
        </w:rPr>
        <w:t>科技赋能</w:t>
      </w:r>
      <w:r w:rsidRPr="0000480B">
        <w:t xml:space="preserve"> 让博物馆数字可感、更接地气</w:t>
      </w:r>
    </w:p>
    <w:p w:rsidR="00EA0A8D" w:rsidRDefault="00EA0A8D" w:rsidP="00EA0A8D">
      <w:pPr>
        <w:ind w:firstLineChars="200" w:firstLine="420"/>
      </w:pPr>
      <w:r>
        <w:rPr>
          <w:rFonts w:hint="eastAsia"/>
        </w:rPr>
        <w:t>科技创新是文物事业持续发展的重要支撑，《“十四五”文物保护和科技创新规划》首次将科技创新与文物保护并列写入规划标题。在文化和科技不断融合的大背景下，如何寻找科技赋能的平衡点，将数字技术融入博物馆体系中？</w:t>
      </w:r>
    </w:p>
    <w:p w:rsidR="00EA0A8D" w:rsidRDefault="00EA0A8D" w:rsidP="00EA0A8D">
      <w:pPr>
        <w:ind w:firstLineChars="200" w:firstLine="420"/>
      </w:pPr>
      <w:r>
        <w:rPr>
          <w:rFonts w:hint="eastAsia"/>
        </w:rPr>
        <w:t>近年来，文博机构、科研院所和相关企业共同研发、推广文博技术产品，业内外融合发展的态势日趋显现。在取得良好社会效益和经济效益的同时，对文博事业发展特别是文物保护、展示推广和公共文化服务等显示出重要的支撑作用。</w:t>
      </w:r>
    </w:p>
    <w:p w:rsidR="00EA0A8D" w:rsidRDefault="00EA0A8D" w:rsidP="00EA0A8D">
      <w:pPr>
        <w:ind w:firstLineChars="200" w:firstLine="420"/>
      </w:pPr>
      <w:r>
        <w:rPr>
          <w:rFonts w:hint="eastAsia"/>
        </w:rPr>
        <w:t>拓展博物馆研究平台</w:t>
      </w:r>
    </w:p>
    <w:p w:rsidR="00EA0A8D" w:rsidRDefault="00EA0A8D" w:rsidP="00EA0A8D">
      <w:pPr>
        <w:ind w:firstLineChars="200" w:firstLine="420"/>
      </w:pPr>
      <w:r>
        <w:rPr>
          <w:rFonts w:hint="eastAsia"/>
        </w:rPr>
        <w:t>在互联网背景下，很多行业和模式都在改变，这也给文物研究带来启发。近年来，越来越多的文物被数字化，文物“在线”有了基础，“在线”研究亦成为可能。对此，吉林长春伪满皇宫博物院找到了一个文物研究的新方法。</w:t>
      </w:r>
    </w:p>
    <w:p w:rsidR="00EA0A8D" w:rsidRDefault="00EA0A8D" w:rsidP="00EA0A8D">
      <w:pPr>
        <w:ind w:firstLineChars="200" w:firstLine="420"/>
      </w:pPr>
      <w:r>
        <w:rPr>
          <w:rFonts w:hint="eastAsia"/>
        </w:rPr>
        <w:t>据了解，作为国家一级博物馆，伪满皇宫博物院馆藏文物</w:t>
      </w:r>
      <w:r>
        <w:t>7</w:t>
      </w:r>
      <w:r>
        <w:t>万余件，主要从事文物保护和研究工作的专业人员仅</w:t>
      </w:r>
      <w:r>
        <w:t>14</w:t>
      </w:r>
      <w:r>
        <w:t>人，研究力量严重不足。同时，为了保证文物安全，研究人员不能轻易接触到文物，这也在一定程度上降低了文物研究效率。</w:t>
      </w:r>
    </w:p>
    <w:p w:rsidR="00EA0A8D" w:rsidRDefault="00EA0A8D" w:rsidP="00EA0A8D">
      <w:pPr>
        <w:ind w:firstLineChars="200" w:firstLine="420"/>
      </w:pPr>
      <w:r>
        <w:t>2019</w:t>
      </w:r>
      <w:r>
        <w:t>年，伪满皇宫博物院联合多家单位研发</w:t>
      </w:r>
      <w:r>
        <w:t>“</w:t>
      </w:r>
      <w:r>
        <w:t>格物客部落</w:t>
      </w:r>
      <w:r>
        <w:t>”</w:t>
      </w:r>
      <w:r>
        <w:t>协同研究平台，以</w:t>
      </w:r>
      <w:r>
        <w:t>“</w:t>
      </w:r>
      <w:r>
        <w:t>互联网</w:t>
      </w:r>
      <w:r>
        <w:t>+”</w:t>
      </w:r>
      <w:r>
        <w:t>为基础，以数字技术为输入渠道和展现平台，通过在线开放文物资源，吸引平台用户参与合作研究，进而拓展博物馆研究范围、提升研究水平。</w:t>
      </w:r>
    </w:p>
    <w:p w:rsidR="00EA0A8D" w:rsidRDefault="00EA0A8D" w:rsidP="00EA0A8D">
      <w:pPr>
        <w:ind w:firstLineChars="200" w:firstLine="420"/>
      </w:pPr>
      <w:r>
        <w:rPr>
          <w:rFonts w:hint="eastAsia"/>
        </w:rPr>
        <w:t>格物客部落协同研究平台是我国文博行业首个从文物研究出发，面向全社会开放的交流平台。伪满洲国博物院信息部主任艾雪松告诉记者，该平台致力于构建开放协作的博物馆文化公益生态，解决博物馆资源及学术活动封闭与内循环难题。“格物客部落通过文献与文物关键词打通各自独立的数据库，实现快速检索和关联数据的归集；通过灵活的策略激励，推动馆内外网络化互动，线上线下合作，实现新内容新数据的持续增长。”艾雪松说。</w:t>
      </w:r>
    </w:p>
    <w:p w:rsidR="00EA0A8D" w:rsidRDefault="00EA0A8D" w:rsidP="00EA0A8D">
      <w:pPr>
        <w:ind w:firstLineChars="200" w:firstLine="420"/>
      </w:pPr>
      <w:r>
        <w:rPr>
          <w:rFonts w:hint="eastAsia"/>
        </w:rPr>
        <w:t>目前，平台已有课题内容</w:t>
      </w:r>
      <w:r>
        <w:t>256</w:t>
      </w:r>
      <w:r>
        <w:t>条，话题内容</w:t>
      </w:r>
      <w:r>
        <w:t>438</w:t>
      </w:r>
      <w:r>
        <w:t>条，协同研究信息</w:t>
      </w:r>
      <w:r>
        <w:t>4108</w:t>
      </w:r>
      <w:r>
        <w:t>条。同时，为满足观众、学者、工作人员的个性化需求，拓展至线下举办的</w:t>
      </w:r>
      <w:r>
        <w:t>“</w:t>
      </w:r>
      <w:r>
        <w:t>格物名家</w:t>
      </w:r>
      <w:r>
        <w:t>”</w:t>
      </w:r>
      <w:r>
        <w:t>线下沙龙和</w:t>
      </w:r>
      <w:r>
        <w:t>“</w:t>
      </w:r>
      <w:r>
        <w:t>格物客</w:t>
      </w:r>
      <w:r>
        <w:t>”</w:t>
      </w:r>
      <w:r>
        <w:t>文物鉴赏沙龙，受到各界广泛好评。</w:t>
      </w:r>
    </w:p>
    <w:p w:rsidR="00EA0A8D" w:rsidRDefault="00EA0A8D" w:rsidP="00EA0A8D">
      <w:pPr>
        <w:ind w:firstLineChars="200" w:firstLine="420"/>
      </w:pPr>
      <w:r>
        <w:rPr>
          <w:rFonts w:hint="eastAsia"/>
        </w:rPr>
        <w:t>提升博物馆数据治理能力</w:t>
      </w:r>
    </w:p>
    <w:p w:rsidR="00EA0A8D" w:rsidRDefault="00EA0A8D" w:rsidP="00EA0A8D">
      <w:pPr>
        <w:ind w:firstLineChars="200" w:firstLine="420"/>
      </w:pPr>
      <w:r>
        <w:rPr>
          <w:rFonts w:hint="eastAsia"/>
        </w:rPr>
        <w:t>多年来，南京博物院信息化的建设理念始终以业务需求为主要推动力、以服务保障博物馆各类业务、增强社会服务职能为目的，逐步建成了以公众服务、文物安全、内部管理为核心的多个信息系统。</w:t>
      </w:r>
      <w:r>
        <w:t>2022</w:t>
      </w:r>
      <w:r>
        <w:t>年</w:t>
      </w:r>
      <w:r>
        <w:t>5</w:t>
      </w:r>
      <w:r>
        <w:t>月完成的南京博物院数据可视化平台，进一步为大数据辅助决策、观众趋势与结构分析、文物环境预警等提供了有效载体。</w:t>
      </w:r>
    </w:p>
    <w:p w:rsidR="00EA0A8D" w:rsidRDefault="00EA0A8D" w:rsidP="00EA0A8D">
      <w:pPr>
        <w:ind w:firstLineChars="200" w:firstLine="420"/>
      </w:pPr>
      <w:r>
        <w:rPr>
          <w:rFonts w:hint="eastAsia"/>
        </w:rPr>
        <w:t>南京博物院图书信息部主任张莅坤表示，南京博物院此次尝试的数据可视化运营统计监测系统所涉及的物联网、大数据、观众特征分析等均为信息行业的前沿技术，在各个领域已有成熟应用，配合自研算法、系统集成及数据可视化，可以完成数据的精确采集、智能分析和直观展示。不仅有助于推动博物馆内部管理的优化、文物展品的保护、公众服务的提升，而且具备较好的前瞻性、创新性、实用性与通用性，便于推广至文博场馆中广泛使用。</w:t>
      </w:r>
    </w:p>
    <w:p w:rsidR="00EA0A8D" w:rsidRDefault="00EA0A8D" w:rsidP="00EA0A8D">
      <w:pPr>
        <w:ind w:firstLineChars="200" w:firstLine="420"/>
      </w:pPr>
      <w:r>
        <w:rPr>
          <w:rFonts w:hint="eastAsia"/>
        </w:rPr>
        <w:t>张莅坤表示：“在项目建设中，我们整合了开放中心、文物保护研究所、陈列展览部、社会服务部、图书信息部、安全保卫部等多部门，将各部门管理职能进行集成和组合，实现全过程、连续性的多跨协同管理和服务。值得一提的是，项目利用多项智能</w:t>
      </w:r>
      <w:r>
        <w:t>AI</w:t>
      </w:r>
      <w:r>
        <w:t>、超脑算法技术，形成了服务于日常管理、展览陈列、公众服务、安全调控等多方面的综合应用创新场景。</w:t>
      </w:r>
      <w:r>
        <w:t>”</w:t>
      </w:r>
    </w:p>
    <w:p w:rsidR="00EA0A8D" w:rsidRDefault="00EA0A8D" w:rsidP="00EA0A8D">
      <w:pPr>
        <w:ind w:firstLineChars="200" w:firstLine="420"/>
      </w:pPr>
      <w:r>
        <w:rPr>
          <w:rFonts w:hint="eastAsia"/>
        </w:rPr>
        <w:t>让数字化体验产品更有温度</w:t>
      </w:r>
    </w:p>
    <w:p w:rsidR="00EA0A8D" w:rsidRDefault="00EA0A8D" w:rsidP="00EA0A8D">
      <w:pPr>
        <w:ind w:firstLineChars="200" w:firstLine="420"/>
      </w:pPr>
      <w:r>
        <w:rPr>
          <w:rFonts w:hint="eastAsia"/>
        </w:rPr>
        <w:t>产品要研发，品牌要培育，业态要创新，都离不开科技的力量，文博领域也不例外。在提升博物馆服务能力方面，《“十四五”文物保护和科技创新规划》指出，推动博物馆发展线上数字化体验产品，提供沉浸式体验、虚拟展厅、高清直播等新型文旅服务。</w:t>
      </w:r>
    </w:p>
    <w:p w:rsidR="00EA0A8D" w:rsidRDefault="00EA0A8D" w:rsidP="00EA0A8D">
      <w:pPr>
        <w:ind w:firstLineChars="200" w:firstLine="420"/>
      </w:pPr>
      <w:r>
        <w:rPr>
          <w:rFonts w:hint="eastAsia"/>
        </w:rPr>
        <w:t>去年是中国国家博物馆（简称“国博”）建馆</w:t>
      </w:r>
      <w:r>
        <w:t>110</w:t>
      </w:r>
      <w:r>
        <w:t>周年，该馆推出首个虚拟数智人艾雯雯。</w:t>
      </w:r>
      <w:r>
        <w:t>“</w:t>
      </w:r>
      <w:r>
        <w:t>祝贺可爱的艾雯雯入职</w:t>
      </w:r>
      <w:r>
        <w:t>”“</w:t>
      </w:r>
      <w:r>
        <w:t>古代记忆牵手现代科技，穿越现实感满满</w:t>
      </w:r>
      <w:r>
        <w:t>”</w:t>
      </w:r>
      <w:r>
        <w:t>，国博官微留言板上艾雯雯收获了网友的赞美。</w:t>
      </w:r>
    </w:p>
    <w:p w:rsidR="00EA0A8D" w:rsidRDefault="00EA0A8D" w:rsidP="00EA0A8D">
      <w:pPr>
        <w:ind w:firstLineChars="200" w:firstLine="420"/>
      </w:pPr>
      <w:r>
        <w:rPr>
          <w:rFonts w:hint="eastAsia"/>
        </w:rPr>
        <w:t>在国博“古代中国”展厅，艾雯雯与馆藏文物产生神奇感应，获得了让“文物活起来”的独特能力。而触发艾雯雯和文物感应的耳钉，创意来源于国博馆藏“海晏河清尊”，是国博文创产品之一。同时，艾雯雯拥有超强的自学和自适应能力，能够不断更新、丰富自己的知识库，以国博</w:t>
      </w:r>
      <w:r>
        <w:t>140</w:t>
      </w:r>
      <w:r>
        <w:t>多万件馆藏为基础，构建丰富的知识储备和互动技能。</w:t>
      </w:r>
    </w:p>
    <w:p w:rsidR="00EA0A8D" w:rsidRDefault="00EA0A8D" w:rsidP="00EA0A8D">
      <w:pPr>
        <w:ind w:firstLineChars="200" w:firstLine="420"/>
      </w:pPr>
      <w:r>
        <w:rPr>
          <w:rFonts w:hint="eastAsia"/>
        </w:rPr>
        <w:t>艾雯雯的动态活化和场景融合，依托于凡拓数字创意科技股份有限公司的数字孪生技术，通过骨骼绑定、动作捕捉、布料毛发解算等技术，让静态的数字模型真正“活”起来，变成一位顾盼生辉的鲜活少女。再借助三维与实景视频合成渲染技术，以及精准还原的三维透视空间关系，让艾雯雯走进现实场景。</w:t>
      </w:r>
    </w:p>
    <w:p w:rsidR="00EA0A8D" w:rsidRDefault="00EA0A8D" w:rsidP="00EA0A8D">
      <w:pPr>
        <w:ind w:firstLineChars="200" w:firstLine="420"/>
      </w:pPr>
      <w:r>
        <w:rPr>
          <w:rFonts w:hint="eastAsia"/>
        </w:rPr>
        <w:t>凡拓数字创意科技股份有限公司副总裁、事业部总经理王筠介绍，凡拓数创虚拟数智人可与</w:t>
      </w:r>
      <w:r>
        <w:t>3D</w:t>
      </w:r>
      <w:r>
        <w:t>可视化产品、</w:t>
      </w:r>
      <w:r>
        <w:t>AI</w:t>
      </w:r>
      <w:r>
        <w:t>信息化产品、数智展馆一体化相结合形成立体服务模式，除</w:t>
      </w:r>
      <w:r>
        <w:t>IP</w:t>
      </w:r>
      <w:r>
        <w:t>运营、特效影片、内容直播等应用，还可贯穿展馆、展厅，为游客观众提供智能答疑与个性化服务。据了解，艾雯雯将在国博收藏、研究、展示、对外交流等不同岗位深入学习后，在线上线下平台为观众讲好国博故事，讲好中国故事。</w:t>
      </w:r>
    </w:p>
    <w:p w:rsidR="00EA0A8D" w:rsidRPr="0000480B" w:rsidRDefault="00EA0A8D" w:rsidP="0000480B">
      <w:pPr>
        <w:jc w:val="right"/>
      </w:pPr>
      <w:r>
        <w:t>中国文化报</w:t>
      </w:r>
      <w:r w:rsidRPr="0000480B">
        <w:t>2023-04-06</w:t>
      </w:r>
    </w:p>
    <w:p w:rsidR="00EA0A8D" w:rsidRDefault="00EA0A8D" w:rsidP="00265D71">
      <w:pPr>
        <w:sectPr w:rsidR="00EA0A8D" w:rsidSect="00265D71">
          <w:type w:val="continuous"/>
          <w:pgSz w:w="11906" w:h="16838"/>
          <w:pgMar w:top="1644" w:right="1236" w:bottom="1418" w:left="1814" w:header="851" w:footer="907" w:gutter="0"/>
          <w:pgNumType w:start="1"/>
          <w:cols w:space="720"/>
          <w:docGrid w:type="lines" w:linePitch="341" w:charSpace="2373"/>
        </w:sectPr>
      </w:pPr>
    </w:p>
    <w:p w:rsidR="00793F14" w:rsidRDefault="00793F14"/>
    <w:sectPr w:rsidR="00793F1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A0A8D"/>
    <w:rsid w:val="00793F14"/>
    <w:rsid w:val="00EA0A8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A0A8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A0A8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310</Words>
  <Characters>1773</Characters>
  <Application>Microsoft Office Word</Application>
  <DocSecurity>0</DocSecurity>
  <Lines>14</Lines>
  <Paragraphs>4</Paragraphs>
  <ScaleCrop>false</ScaleCrop>
  <Company>Microsoft</Company>
  <LinksUpToDate>false</LinksUpToDate>
  <CharactersWithSpaces>2079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2023-04-13T09:25:00Z</dcterms:created>
</cp:coreProperties>
</file>