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C5F" w:rsidRPr="00F25A9C" w:rsidRDefault="00861C5F" w:rsidP="00F25A9C">
      <w:pPr>
        <w:pStyle w:val="1"/>
      </w:pPr>
      <w:r w:rsidRPr="00F25A9C">
        <w:rPr>
          <w:rFonts w:hint="eastAsia"/>
        </w:rPr>
        <w:t>大丰区发改委：强化信用体系建设</w:t>
      </w:r>
      <w:r w:rsidRPr="00F25A9C">
        <w:t xml:space="preserve"> 营造优良营商环境</w:t>
      </w:r>
    </w:p>
    <w:p w:rsidR="00861C5F" w:rsidRDefault="00861C5F" w:rsidP="00861C5F">
      <w:pPr>
        <w:ind w:firstLineChars="200" w:firstLine="420"/>
        <w:jc w:val="left"/>
      </w:pPr>
      <w:r>
        <w:rPr>
          <w:rFonts w:hint="eastAsia"/>
        </w:rPr>
        <w:t>近年来，盐城市大丰区发改委紧紧围绕“加强信用体系建设，营造诚信社会氛围”这一主题，不断夯实信用基础工作，提高社会诚信意识和信用水平，营商环境进一步优化。</w:t>
      </w:r>
    </w:p>
    <w:p w:rsidR="00861C5F" w:rsidRDefault="00861C5F" w:rsidP="00861C5F">
      <w:pPr>
        <w:ind w:firstLineChars="200" w:firstLine="420"/>
        <w:jc w:val="left"/>
      </w:pPr>
      <w:r>
        <w:rPr>
          <w:rFonts w:hint="eastAsia"/>
        </w:rPr>
        <w:t>突出信息归集，为社会信用监管打牢基础。该区发改委牵头各部门，对日常监管、公共服务过程中形成的经营主体信用信息，特别是失信记录建档留痕形成完整的经营主体信用档案，做到可查、可核、可溯。截至目前共归集社会法人信息</w:t>
      </w:r>
      <w:r>
        <w:t>763.75</w:t>
      </w:r>
      <w:r>
        <w:t>万条、自然人信息</w:t>
      </w:r>
      <w:r>
        <w:t>8234.16</w:t>
      </w:r>
      <w:r>
        <w:t>万条、</w:t>
      </w:r>
      <w:r>
        <w:t>“</w:t>
      </w:r>
      <w:r>
        <w:t>双公示</w:t>
      </w:r>
      <w:r>
        <w:t>”</w:t>
      </w:r>
      <w:r>
        <w:t>信息</w:t>
      </w:r>
      <w:r>
        <w:t>74.10</w:t>
      </w:r>
      <w:r>
        <w:t>万条。信息源头部门覆盖</w:t>
      </w:r>
      <w:r>
        <w:t>52</w:t>
      </w:r>
      <w:r>
        <w:t>个部门及</w:t>
      </w:r>
      <w:r>
        <w:t>15</w:t>
      </w:r>
      <w:r>
        <w:t>个镇（街道）和开发区。</w:t>
      </w:r>
    </w:p>
    <w:p w:rsidR="00861C5F" w:rsidRDefault="00861C5F" w:rsidP="00861C5F">
      <w:pPr>
        <w:ind w:firstLineChars="200" w:firstLine="420"/>
        <w:jc w:val="left"/>
      </w:pPr>
      <w:r>
        <w:rPr>
          <w:rFonts w:hint="eastAsia"/>
        </w:rPr>
        <w:t>开展分级监管，构建信用新型监管机制。在政府采购领域深化“信易购”应用场景，对于信用良好的企业，可以享受免收履约保证金等优惠政策；在行政审批领域开展“信易批”应用场景，积极探索在大数据和信用支撑下的容缺受理、诚信审批，实行“拿地即开工”“零审批开工”审批服务新模式。进一步发挥信用对中小微企业融资的支持作用，发布多款信用贷款产品，打造“数据评信、银行授信、客户诚信”的信贷模式。</w:t>
      </w:r>
    </w:p>
    <w:p w:rsidR="00861C5F" w:rsidRDefault="00861C5F" w:rsidP="00861C5F">
      <w:pPr>
        <w:ind w:firstLineChars="200" w:firstLine="420"/>
        <w:jc w:val="left"/>
      </w:pPr>
      <w:r>
        <w:rPr>
          <w:rFonts w:hint="eastAsia"/>
        </w:rPr>
        <w:t>强化信用服务，提升信用便民惠企应用。建立“三联三帮”信用修复服务机制。以镇街属地、原处罚部门、信用管理部门三方为责任单位，督促企业主动开展信用修复；区信用办采取“帮拟帮核帮传”服务机制，帮助企业完整、合规填写并审核上传信用修复申请材料。强化信用产品应用。</w:t>
      </w:r>
      <w:r>
        <w:t>2022</w:t>
      </w:r>
      <w:r>
        <w:t>年共为企业和个人提供信用报告查询服务</w:t>
      </w:r>
      <w:r>
        <w:t>347</w:t>
      </w:r>
      <w:r>
        <w:t>次，为部门提供信用审查</w:t>
      </w:r>
      <w:r>
        <w:t>91</w:t>
      </w:r>
      <w:r>
        <w:t>次，为专项资金申报、政府采购、评优评先提供了有力的信用依据。着力提升企业信用管理能力和抗风险能力，组织</w:t>
      </w:r>
      <w:r>
        <w:t>23</w:t>
      </w:r>
      <w:r>
        <w:t>家企业申报</w:t>
      </w:r>
      <w:r>
        <w:t>2022</w:t>
      </w:r>
      <w:r>
        <w:t>年度企业信用管理培训和示范创建。</w:t>
      </w:r>
    </w:p>
    <w:p w:rsidR="00861C5F" w:rsidRDefault="00861C5F" w:rsidP="00861C5F">
      <w:pPr>
        <w:ind w:firstLineChars="200" w:firstLine="420"/>
        <w:jc w:val="left"/>
      </w:pPr>
      <w:r>
        <w:rPr>
          <w:rFonts w:hint="eastAsia"/>
        </w:rPr>
        <w:t>着力重点领域，助力营商环境持续优化。开展信用领域突出问题专项治理，</w:t>
      </w:r>
      <w:r>
        <w:t>2022</w:t>
      </w:r>
      <w:r>
        <w:t>年退出失信企业</w:t>
      </w:r>
      <w:r>
        <w:t>420</w:t>
      </w:r>
      <w:r>
        <w:t>家，退出占比</w:t>
      </w:r>
      <w:r>
        <w:t>68.52%</w:t>
      </w:r>
      <w:r>
        <w:t>，总量和占比均列全市第一；区域内失信企业占比</w:t>
      </w:r>
      <w:r>
        <w:t>0.74%</w:t>
      </w:r>
      <w:r>
        <w:t>，较年初降低</w:t>
      </w:r>
      <w:r>
        <w:t>0.52%</w:t>
      </w:r>
      <w:r>
        <w:t>。深入推进政务诚信建设。打造服务企业</w:t>
      </w:r>
      <w:r>
        <w:t>“</w:t>
      </w:r>
      <w:r>
        <w:t>一站式</w:t>
      </w:r>
      <w:r>
        <w:t>”</w:t>
      </w:r>
      <w:r>
        <w:t>综合平台</w:t>
      </w:r>
      <w:r>
        <w:t>——</w:t>
      </w:r>
      <w:r>
        <w:t>丰企之家。承接全区</w:t>
      </w:r>
      <w:r>
        <w:t>20</w:t>
      </w:r>
      <w:r>
        <w:t>多个涉企服务部门关于产业、科技、人才、金融等</w:t>
      </w:r>
      <w:r>
        <w:t>230</w:t>
      </w:r>
      <w:r>
        <w:t>多项授权业务，为企业提供全面、便捷、专业的一站式服务。</w:t>
      </w:r>
    </w:p>
    <w:p w:rsidR="00861C5F" w:rsidRDefault="00861C5F" w:rsidP="00861C5F">
      <w:pPr>
        <w:ind w:firstLineChars="200" w:firstLine="420"/>
        <w:jc w:val="left"/>
      </w:pPr>
      <w:r>
        <w:rPr>
          <w:rFonts w:hint="eastAsia"/>
        </w:rPr>
        <w:t>深化信用宣传，扩大信用大丰影响力。在“信用江苏”网站、“信用盐城”网站、“诚信大丰”微信公众号等发布信用知识“云课堂”系列网课</w:t>
      </w:r>
      <w:r>
        <w:t>9</w:t>
      </w:r>
      <w:r>
        <w:t>期。其中宣讲《江苏省社会信用条例》系列视频，被省信用办选报国家发改委；以信用修复为代表的信用服务系列视频，被各行业主管部门、各镇（区）作为信用修复培训课件，点击量超过</w:t>
      </w:r>
      <w:r>
        <w:t>1</w:t>
      </w:r>
      <w:r>
        <w:t>万次，受众企业超过</w:t>
      </w:r>
      <w:r>
        <w:t>5000</w:t>
      </w:r>
      <w:r>
        <w:t>家。</w:t>
      </w:r>
    </w:p>
    <w:p w:rsidR="00861C5F" w:rsidRDefault="00861C5F" w:rsidP="00861C5F">
      <w:pPr>
        <w:ind w:firstLineChars="200" w:firstLine="420"/>
        <w:jc w:val="right"/>
      </w:pPr>
      <w:r>
        <w:rPr>
          <w:rFonts w:hint="eastAsia"/>
        </w:rPr>
        <w:t>新浪新闻</w:t>
      </w:r>
      <w:r>
        <w:rPr>
          <w:rFonts w:hint="eastAsia"/>
        </w:rPr>
        <w:t>2023-04-03</w:t>
      </w:r>
    </w:p>
    <w:p w:rsidR="00861C5F" w:rsidRDefault="00861C5F" w:rsidP="005439FB">
      <w:pPr>
        <w:sectPr w:rsidR="00861C5F" w:rsidSect="005439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67F28" w:rsidRDefault="00067F28"/>
    <w:sectPr w:rsidR="00067F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1C5F"/>
    <w:rsid w:val="00067F28"/>
    <w:rsid w:val="00861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1C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61C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>Microsoft</Company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2023-04-03T08:13:00Z</dcterms:created>
</cp:coreProperties>
</file>