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B57" w:rsidRDefault="00666B57" w:rsidP="005A2041">
      <w:pPr>
        <w:pStyle w:val="1"/>
      </w:pPr>
      <w:r w:rsidRPr="005A2041">
        <w:rPr>
          <w:rFonts w:hint="eastAsia"/>
        </w:rPr>
        <w:t>即墨区应急局</w:t>
      </w:r>
      <w:r>
        <w:rPr>
          <w:rFonts w:hint="eastAsia"/>
        </w:rPr>
        <w:t>-</w:t>
      </w:r>
      <w:r w:rsidRPr="005A2041">
        <w:rPr>
          <w:rFonts w:hint="eastAsia"/>
        </w:rPr>
        <w:t>局长黄显宏解读《青岛市即墨区危险化学品生产安全事故应急预案》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一、修订目的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规范我区危险化学品生产安全事故的应急管理和应急处置工作，增强应对危险化学品事故灾难的能力，科学有效应对危险化学品事故</w:t>
      </w:r>
      <w:r>
        <w:t>,</w:t>
      </w:r>
      <w:r>
        <w:t>实现防范系统有效、决策科学合理、应急指挥顺畅、应急保障有力，最大限度地减少危险化学品事故的人员伤亡和经济损失</w:t>
      </w:r>
      <w:r>
        <w:t>,</w:t>
      </w:r>
      <w:r>
        <w:t>维护公众的生命和财产安全。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二、修订依据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《中华人民共和国安全生产法》《中华人民共和国突发事件应对法》《中华人民共和国消防法》《中华人民共和国环境保护法》《生产安全事故应急条例》《生产安全事故报告和调查处理条例》《危险化学品安全管理条例》《山东省安全生产条例》《山东省突发事件应对条例》《青岛市安全生产条例》《青岛市突发事件应对条例》《青岛市突发事件总体应急预案》《青岛市危险化学品生产安全事故应急预案》《青岛市即墨区突发事件总体应急预案》等法律法规和有关规定。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三、修订主要内容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以习近平新时代中国特色社会主义思想为指导，深入贯彻落实习近平总书记关于安全生产重要论述，结合我区实际情况，在修订过程中重点修订了以下六个方面内容：一是补充了相关编制依据；二是完善了风险评估内容；三是调整了区专项指挥部成员单位组成和工作职责；四是完善了指挥部、各应急小组工作职能；五是补充了应急处置措施；六是细化了信息发布与舆情引导要求。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四、保障机制和下步工作措施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预案规定了队伍保障、物资装备保障、通信供电保障、交通运输保障、治安保障、医疗卫生保障、经费保障等</w:t>
      </w:r>
      <w:r>
        <w:t>7</w:t>
      </w:r>
      <w:r>
        <w:t>个方面的保障。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预案修订完成后，将进一步加强与其他生产安全事故的处置衔接，加强对预案的演练。通过演练，落实岗位责任制，熟悉应急工作的指挥机制及决策、协调和处理程序，识别资源需求，评价应急准备状态，检验预案的可行性和完善应急预案，从而进一步提高应对危险化学品生产安全事故的能力。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五、实施时间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《预案》自印发之日起实施。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六、《预案》由区专项指挥部办公室（区应急管理局）负责制定、修订、解释。</w:t>
      </w:r>
    </w:p>
    <w:p w:rsidR="00666B57" w:rsidRDefault="00666B57" w:rsidP="00666B57">
      <w:pPr>
        <w:ind w:firstLineChars="200" w:firstLine="420"/>
      </w:pPr>
      <w:r>
        <w:rPr>
          <w:rFonts w:hint="eastAsia"/>
        </w:rPr>
        <w:t>七、联系电话：</w:t>
      </w:r>
      <w:r>
        <w:t>0532-85550389</w:t>
      </w:r>
    </w:p>
    <w:p w:rsidR="00666B57" w:rsidRPr="005A2041" w:rsidRDefault="00666B57" w:rsidP="005A2041">
      <w:pPr>
        <w:jc w:val="right"/>
      </w:pPr>
      <w:r w:rsidRPr="005A2041">
        <w:rPr>
          <w:rFonts w:hint="eastAsia"/>
        </w:rPr>
        <w:t>即墨区政府</w:t>
      </w:r>
      <w:r w:rsidRPr="005A2041">
        <w:t>2023-03-27</w:t>
      </w:r>
    </w:p>
    <w:p w:rsidR="00666B57" w:rsidRDefault="00666B57" w:rsidP="009F1D31">
      <w:pPr>
        <w:sectPr w:rsidR="00666B57" w:rsidSect="009F1D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F71F4" w:rsidRDefault="004F71F4"/>
    <w:sectPr w:rsidR="004F71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6B57"/>
    <w:rsid w:val="004F71F4"/>
    <w:rsid w:val="00666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6B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6B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>Microsoft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2023-03-28T01:23:00Z</dcterms:created>
</cp:coreProperties>
</file>