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A147E" w:rsidRDefault="006A147E" w:rsidP="00E15B8D">
      <w:pPr>
        <w:pStyle w:val="1"/>
      </w:pPr>
      <w:r w:rsidRPr="00E15B8D">
        <w:rPr>
          <w:rFonts w:hint="eastAsia"/>
        </w:rPr>
        <w:t>洪泽区：优化高新培育机制</w:t>
      </w:r>
      <w:r w:rsidRPr="00E15B8D">
        <w:t xml:space="preserve"> 助力企业创新发展</w:t>
      </w:r>
    </w:p>
    <w:p w:rsidR="006A147E" w:rsidRDefault="006A147E" w:rsidP="006A147E">
      <w:pPr>
        <w:ind w:firstLineChars="200" w:firstLine="420"/>
      </w:pPr>
      <w:r>
        <w:rPr>
          <w:rFonts w:hint="eastAsia"/>
        </w:rPr>
        <w:t>近年来，洪泽区以创建国家创新型城市为契机，深化科技体制改革，创新高新技术企业扶持、服务、激励等培育机制，区域科技创新水平加快提升。</w:t>
      </w:r>
    </w:p>
    <w:p w:rsidR="006A147E" w:rsidRDefault="006A147E" w:rsidP="006A147E">
      <w:pPr>
        <w:ind w:firstLineChars="200" w:firstLine="420"/>
      </w:pPr>
      <w:r>
        <w:rPr>
          <w:rFonts w:hint="eastAsia"/>
        </w:rPr>
        <w:t>去年，全社会研发投入、高新技术企业数同比分别增长</w:t>
      </w:r>
      <w:r>
        <w:t>17%</w:t>
      </w:r>
      <w:r>
        <w:t>、</w:t>
      </w:r>
      <w:r>
        <w:t>18.2%</w:t>
      </w:r>
      <w:r>
        <w:t>，高新技术产业产值占比超淮安市平均水平</w:t>
      </w:r>
      <w:r>
        <w:t>8.5</w:t>
      </w:r>
      <w:r>
        <w:t>个百分点。洪泽经济开发区通过国家知识产权试点园区验收并获批省级智慧园区。</w:t>
      </w:r>
    </w:p>
    <w:p w:rsidR="006A147E" w:rsidRDefault="006A147E" w:rsidP="006A147E">
      <w:pPr>
        <w:ind w:firstLineChars="200" w:firstLine="420"/>
      </w:pPr>
      <w:r>
        <w:rPr>
          <w:rFonts w:hint="eastAsia"/>
        </w:rPr>
        <w:t>“白蓝名单”分类引育。</w:t>
      </w:r>
    </w:p>
    <w:p w:rsidR="006A147E" w:rsidRDefault="006A147E" w:rsidP="006A147E">
      <w:pPr>
        <w:ind w:firstLineChars="200" w:firstLine="420"/>
      </w:pPr>
      <w:r>
        <w:rPr>
          <w:rFonts w:hint="eastAsia"/>
        </w:rPr>
        <w:t>探索创建“白蓝名单”，建立招引落户、培育孵化、引导壮大分类培育机制，将</w:t>
      </w:r>
      <w:r>
        <w:t>62</w:t>
      </w:r>
      <w:r>
        <w:t>家研发能力强企业列入</w:t>
      </w:r>
      <w:r>
        <w:t>“</w:t>
      </w:r>
      <w:r>
        <w:t>白名单</w:t>
      </w:r>
      <w:r>
        <w:t>”</w:t>
      </w:r>
      <w:r>
        <w:t>、</w:t>
      </w:r>
      <w:r>
        <w:t>40</w:t>
      </w:r>
      <w:r>
        <w:t>家发展潜力足但暂无研发投入企业列入</w:t>
      </w:r>
      <w:r>
        <w:t>“</w:t>
      </w:r>
      <w:r>
        <w:t>蓝名单</w:t>
      </w:r>
      <w:r>
        <w:t>”</w:t>
      </w:r>
      <w:r>
        <w:t>，从财税金融、知识产权、科创平台等方面</w:t>
      </w:r>
      <w:r>
        <w:t>“</w:t>
      </w:r>
      <w:r>
        <w:t>一企一策</w:t>
      </w:r>
      <w:r>
        <w:t>”</w:t>
      </w:r>
      <w:r>
        <w:t>支持开展研发活动、争取研发升级，推动科创从</w:t>
      </w:r>
      <w:r>
        <w:t>“</w:t>
      </w:r>
      <w:r>
        <w:t>强到更强</w:t>
      </w:r>
      <w:r>
        <w:t>”</w:t>
      </w:r>
      <w:r>
        <w:t>、</w:t>
      </w:r>
      <w:r>
        <w:t>“</w:t>
      </w:r>
      <w:r>
        <w:t>从</w:t>
      </w:r>
      <w:r>
        <w:t>0</w:t>
      </w:r>
      <w:r>
        <w:t>到</w:t>
      </w:r>
      <w:r>
        <w:t>1”</w:t>
      </w:r>
      <w:r>
        <w:t>突破。实施以来，已有</w:t>
      </w:r>
      <w:r>
        <w:t>11</w:t>
      </w:r>
      <w:r>
        <w:t>家</w:t>
      </w:r>
      <w:r>
        <w:t>“</w:t>
      </w:r>
      <w:r>
        <w:t>蓝名单</w:t>
      </w:r>
      <w:r>
        <w:t xml:space="preserve">” </w:t>
      </w:r>
      <w:r>
        <w:t>企业升级为研发企业，</w:t>
      </w:r>
      <w:r>
        <w:t>“</w:t>
      </w:r>
      <w:r>
        <w:t>白名单</w:t>
      </w:r>
      <w:r>
        <w:t>”</w:t>
      </w:r>
      <w:r>
        <w:t>企业增加研发投入超</w:t>
      </w:r>
      <w:r>
        <w:t>40%</w:t>
      </w:r>
      <w:r>
        <w:t>。</w:t>
      </w:r>
    </w:p>
    <w:p w:rsidR="006A147E" w:rsidRDefault="006A147E" w:rsidP="006A147E">
      <w:pPr>
        <w:ind w:firstLineChars="200" w:firstLine="420"/>
      </w:pPr>
      <w:r>
        <w:rPr>
          <w:rFonts w:hint="eastAsia"/>
        </w:rPr>
        <w:t>“人才飞地”汇聚资源。</w:t>
      </w:r>
    </w:p>
    <w:p w:rsidR="006A147E" w:rsidRDefault="006A147E" w:rsidP="006A147E">
      <w:pPr>
        <w:ind w:firstLineChars="200" w:firstLine="420"/>
      </w:pPr>
      <w:r>
        <w:rPr>
          <w:rFonts w:hint="eastAsia"/>
        </w:rPr>
        <w:t>联合南京软件谷科创城，探索创建淮安市首个集研发、孵化、设计等功能于一体的“人才飞地”一洪泽工业园双向离岸创新中心，构建“孵化在飞地、产业化在本地，研发在飞地、生产在本地，前台在飞地、后台在本地”新模式，助力新源太阳能等企业招聘研发销售紧缺型人才</w:t>
      </w:r>
      <w:r>
        <w:t>60</w:t>
      </w:r>
      <w:r>
        <w:t>多名、沃盾新材料等企业完成数字化转型，入驻的</w:t>
      </w:r>
      <w:r>
        <w:t>12</w:t>
      </w:r>
      <w:r>
        <w:t>家洪泽企业预计全年开票销售、税收同比分别增长</w:t>
      </w:r>
      <w:r>
        <w:t>30%</w:t>
      </w:r>
      <w:r>
        <w:t>、</w:t>
      </w:r>
      <w:r>
        <w:t>120%</w:t>
      </w:r>
      <w:r>
        <w:t>。</w:t>
      </w:r>
    </w:p>
    <w:p w:rsidR="006A147E" w:rsidRDefault="006A147E" w:rsidP="006A147E">
      <w:pPr>
        <w:ind w:firstLineChars="200" w:firstLine="420"/>
      </w:pPr>
      <w:r>
        <w:rPr>
          <w:rFonts w:hint="eastAsia"/>
        </w:rPr>
        <w:t>“多元平台</w:t>
      </w:r>
      <w:r>
        <w:t>"</w:t>
      </w:r>
      <w:r>
        <w:t>提供服务。</w:t>
      </w:r>
    </w:p>
    <w:p w:rsidR="006A147E" w:rsidRDefault="006A147E" w:rsidP="006A147E">
      <w:pPr>
        <w:ind w:firstLineChars="200" w:firstLine="420"/>
      </w:pPr>
      <w:r>
        <w:t>搭建多类型、多层次科技创新平台，建成淮安市首家企业线上服务平台一</w:t>
      </w:r>
      <w:r>
        <w:t>“</w:t>
      </w:r>
      <w:r>
        <w:t>智岭云</w:t>
      </w:r>
      <w:r>
        <w:t>”</w:t>
      </w:r>
      <w:r>
        <w:t>，打造技术成果库、知识产权库、专家人才库等，以政府购买服务方式培育发展科技服务机构，为企业提供一对一线上科技服务，推动三联新材料与东华大学共建高端纺织集聚地、食品科技产业园与江苏食品学院全方位合作，全区企业</w:t>
      </w:r>
      <w:r>
        <w:t>“</w:t>
      </w:r>
      <w:r>
        <w:t>两站三中心</w:t>
      </w:r>
      <w:r>
        <w:t>”</w:t>
      </w:r>
      <w:r>
        <w:t>累计达</w:t>
      </w:r>
      <w:r>
        <w:t>195</w:t>
      </w:r>
      <w:r>
        <w:t>家。</w:t>
      </w:r>
    </w:p>
    <w:p w:rsidR="006A147E" w:rsidRDefault="006A147E" w:rsidP="00E15B8D">
      <w:pPr>
        <w:jc w:val="right"/>
      </w:pPr>
      <w:r>
        <w:rPr>
          <w:rFonts w:hint="eastAsia"/>
        </w:rPr>
        <w:t>淮安市人民政府</w:t>
      </w:r>
      <w:r w:rsidRPr="00E15B8D">
        <w:t>2023-03-20</w:t>
      </w:r>
    </w:p>
    <w:p w:rsidR="006A147E" w:rsidRDefault="006A147E" w:rsidP="00F61FFD">
      <w:pPr>
        <w:sectPr w:rsidR="006A147E" w:rsidSect="00F61FFD">
          <w:type w:val="continuous"/>
          <w:pgSz w:w="11906" w:h="16838"/>
          <w:pgMar w:top="1644" w:right="1236" w:bottom="1418" w:left="1814" w:header="851" w:footer="907" w:gutter="0"/>
          <w:pgNumType w:start="1"/>
          <w:cols w:space="720"/>
          <w:docGrid w:type="lines" w:linePitch="341" w:charSpace="2373"/>
        </w:sectPr>
      </w:pPr>
    </w:p>
    <w:p w:rsidR="00AF4308" w:rsidRDefault="00AF4308"/>
    <w:sectPr w:rsidR="00AF430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A147E"/>
    <w:rsid w:val="006A147E"/>
    <w:rsid w:val="00AF430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A147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6A147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112</Words>
  <Characters>644</Characters>
  <Application>Microsoft Office Word</Application>
  <DocSecurity>0</DocSecurity>
  <Lines>5</Lines>
  <Paragraphs>1</Paragraphs>
  <ScaleCrop>false</ScaleCrop>
  <Company>Microsoft</Company>
  <LinksUpToDate>false</LinksUpToDate>
  <CharactersWithSpaces>755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2023-03-23T06:47:00Z</dcterms:created>
</cp:coreProperties>
</file>