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3DDE" w:rsidRDefault="00423DDE" w:rsidP="00827DFC">
      <w:pPr>
        <w:pStyle w:val="1"/>
      </w:pPr>
      <w:r w:rsidRPr="00827DFC">
        <w:rPr>
          <w:rFonts w:hint="eastAsia"/>
        </w:rPr>
        <w:t>济南市生态环境</w:t>
      </w:r>
      <w:r>
        <w:rPr>
          <w:rFonts w:hint="eastAsia"/>
        </w:rPr>
        <w:t>局：突出非现场执法综合效应 持续优化执法方式</w:t>
      </w:r>
      <w:r>
        <w:t xml:space="preserve"> 提升执法效能</w:t>
      </w:r>
    </w:p>
    <w:p w:rsidR="00423DDE" w:rsidRDefault="00423DDE" w:rsidP="00423DDE">
      <w:pPr>
        <w:ind w:firstLineChars="200" w:firstLine="420"/>
      </w:pPr>
      <w:r>
        <w:rPr>
          <w:rFonts w:hint="eastAsia"/>
        </w:rPr>
        <w:t>济南市生态环境保护综合行政执法支队将深入推进非现场执法作为优化执法方式、提升执法效能的重要内容，着力丰富非现场执法手段，积极推进应用非现场手段发现问题线索、应用非现场手段检查处置问题、应用非现场手段推进问题整改反馈、应用非现场手段开展执法稽查监督，突出非现场执法的综合效应，提升生态环境执法科技支撑能力，以智慧化、数字化、信息化手段深入推进科学治污、精准治污、依法治污，努力为深入打好污染防治攻坚战提供坚实执法保障。</w:t>
      </w:r>
    </w:p>
    <w:p w:rsidR="00423DDE" w:rsidRDefault="00423DDE" w:rsidP="00423DDE">
      <w:pPr>
        <w:ind w:firstLineChars="200" w:firstLine="420"/>
      </w:pPr>
      <w:r>
        <w:rPr>
          <w:rFonts w:hint="eastAsia"/>
        </w:rPr>
        <w:t>一是丰富拓展非现场监管应用场景。健全完善以在线监控、用电监控为主，无人机、车载走航、便携式监测以及数据信息技术有机组合的多源非现场监管执法体系。依托排污许可管理信息平台、自动监控</w:t>
      </w:r>
      <w:r>
        <w:t>V6.0</w:t>
      </w:r>
      <w:r>
        <w:t>和固废平台，对正面清单企业、监督帮扶企业等选取重点关注企业，每月开展一次非现场监管抽查。</w:t>
      </w:r>
      <w:r>
        <w:t>2022</w:t>
      </w:r>
      <w:r>
        <w:t>年全市开展非现场监管执法</w:t>
      </w:r>
      <w:r>
        <w:t>3459</w:t>
      </w:r>
      <w:r>
        <w:t>家次，发现线索企业</w:t>
      </w:r>
      <w:r>
        <w:t>225</w:t>
      </w:r>
      <w:r>
        <w:t>家次，发现各类问题线索</w:t>
      </w:r>
      <w:r>
        <w:t xml:space="preserve"> 2743</w:t>
      </w:r>
      <w:r>
        <w:t>条。积极开展典型行业污染物排放自动监测数据标记和电子督办试点工作，济南市</w:t>
      </w:r>
      <w:r>
        <w:t>25</w:t>
      </w:r>
      <w:r>
        <w:t>家试点单位</w:t>
      </w:r>
      <w:r>
        <w:t>57</w:t>
      </w:r>
      <w:r>
        <w:t>个点位提前完成工作任务，在全省</w:t>
      </w:r>
      <w:r>
        <w:t>16</w:t>
      </w:r>
      <w:r>
        <w:t>市中率先全部与国发</w:t>
      </w:r>
      <w:r>
        <w:rPr>
          <w:rFonts w:hint="eastAsia"/>
        </w:rPr>
        <w:t>平台完成联网。积极探索建成分布式智慧环保电监管系统，对全市</w:t>
      </w:r>
      <w:r>
        <w:t>900</w:t>
      </w:r>
      <w:r>
        <w:t>余家工业企业的生产、治污设施用电量实时监控，首创重污染天气企业应急响应电量智能监管的新模式。持续实施无人机非现场执法检查，将检查发现问题及时推送整改。在黄河流域</w:t>
      </w:r>
      <w:r>
        <w:t>“</w:t>
      </w:r>
      <w:r>
        <w:t>清废行动</w:t>
      </w:r>
      <w:r>
        <w:t>”</w:t>
      </w:r>
      <w:r>
        <w:t>中，充分利用高分卫星及无人机遥感等第三方高科技手段，搭建起</w:t>
      </w:r>
      <w:r>
        <w:t>“</w:t>
      </w:r>
      <w:r>
        <w:t>卫星全覆盖排查</w:t>
      </w:r>
      <w:r>
        <w:t>-</w:t>
      </w:r>
      <w:r>
        <w:t>重点区域无人机抽查</w:t>
      </w:r>
      <w:r>
        <w:t>-</w:t>
      </w:r>
      <w:r>
        <w:t>现场调查</w:t>
      </w:r>
      <w:r>
        <w:t>-</w:t>
      </w:r>
      <w:r>
        <w:t>遥感回头看</w:t>
      </w:r>
      <w:r>
        <w:t>”</w:t>
      </w:r>
      <w:r>
        <w:t>闭环工作模式，实现了问题点位的高精度、高效率、全覆盖的快速监测，有效打击了固废非法倾倒堆存等违法行为。共完成</w:t>
      </w:r>
      <w:r>
        <w:t>97</w:t>
      </w:r>
      <w:r>
        <w:t>景卫星影像处理，数据量</w:t>
      </w:r>
      <w:r>
        <w:t>873GB</w:t>
      </w:r>
      <w:r>
        <w:t>，实现了全市</w:t>
      </w:r>
      <w:r>
        <w:t>5</w:t>
      </w:r>
      <w:r>
        <w:rPr>
          <w:rFonts w:hint="eastAsia"/>
        </w:rPr>
        <w:t>次全覆盖遥感监测；基于无人机遥感，共完成全市黄河干流沿岸、重点工业园区、自然保护地等重点地区及周边无人机飞行</w:t>
      </w:r>
      <w:r>
        <w:t>43</w:t>
      </w:r>
      <w:r>
        <w:t>架次，获取无人机影像照片</w:t>
      </w:r>
      <w:r>
        <w:t>22000</w:t>
      </w:r>
      <w:r>
        <w:t>余张，数据量</w:t>
      </w:r>
      <w:r>
        <w:t>730GB</w:t>
      </w:r>
      <w:r>
        <w:t>。在秸秆禁烧工作中成立了无人机巡查组，累计行程</w:t>
      </w:r>
      <w:r>
        <w:t>3.5</w:t>
      </w:r>
      <w:r>
        <w:t>万余公里，起降无人机</w:t>
      </w:r>
      <w:r>
        <w:t>3195</w:t>
      </w:r>
      <w:r>
        <w:t>架次，监测</w:t>
      </w:r>
      <w:r>
        <w:t>2596.5</w:t>
      </w:r>
      <w:r>
        <w:t>万亩，积极构建全覆盖的动态监控体系。</w:t>
      </w:r>
    </w:p>
    <w:p w:rsidR="00423DDE" w:rsidRDefault="00423DDE" w:rsidP="00423DDE">
      <w:pPr>
        <w:ind w:firstLineChars="200" w:firstLine="420"/>
      </w:pPr>
      <w:r>
        <w:rPr>
          <w:rFonts w:hint="eastAsia"/>
        </w:rPr>
        <w:t>二是规范应用山东省生态环境保护综合执法智慧监管系统。严格落实《“山东省生态环境保护综合执法智慧监管系统”应用工作实施方案》，全面提升执法系统应用“人员活跃率、终端使用率、数据完整率”，实现全业务信息化和全流程信息化。安排专人，采取日提醒，周调度、月通报和每月开展的非现场执法稽查等方式，进一步督促、规范综合执法智慧监管系统使用。</w:t>
      </w:r>
      <w:r>
        <w:t>2022</w:t>
      </w:r>
      <w:r>
        <w:t>年我市共上报执法检查记录</w:t>
      </w:r>
      <w:r>
        <w:t>12231</w:t>
      </w:r>
      <w:r>
        <w:t>条，人均上报数量</w:t>
      </w:r>
      <w:r>
        <w:t>92.66</w:t>
      </w:r>
      <w:r>
        <w:t>条，执法人员活跃率</w:t>
      </w:r>
      <w:r>
        <w:t>100%</w:t>
      </w:r>
      <w:r>
        <w:t>，发现问题数量</w:t>
      </w:r>
      <w:r>
        <w:t>1324</w:t>
      </w:r>
      <w:r>
        <w:t>个，人均发现问题数</w:t>
      </w:r>
      <w:r>
        <w:t>10.03</w:t>
      </w:r>
      <w:r>
        <w:t>个。同时，加强对现场检查数据的规范审核、</w:t>
      </w:r>
      <w:r>
        <w:rPr>
          <w:rFonts w:hint="eastAsia"/>
        </w:rPr>
        <w:t>监督考核，确保全市生态环境执法机构开展的执法活动均使用山东省生态环境保护综合执法智慧监管系统系统上传。</w:t>
      </w:r>
    </w:p>
    <w:p w:rsidR="00423DDE" w:rsidRDefault="00423DDE" w:rsidP="00423DDE">
      <w:pPr>
        <w:ind w:firstLineChars="200" w:firstLine="420"/>
      </w:pPr>
      <w:r>
        <w:rPr>
          <w:rFonts w:hint="eastAsia"/>
        </w:rPr>
        <w:t>三是着力提升非现场执法比例增进综合效能。促进营商环境打造，常态化推进监督执法正面清单管理制度，全面推进以企业环境信用评价为基础的差异化执法监管。对纳入正面清单的企业（项目）主要采用非现场方式进行监管，对确需现场调查核实的，严格落实启动现场检查审批程序，切实将压减现场检查要求落到实处。切实加强正面清单企业帮扶指导，</w:t>
      </w:r>
      <w:r>
        <w:t>2022</w:t>
      </w:r>
      <w:r>
        <w:t>年度对清单内企业开展帮扶指导</w:t>
      </w:r>
      <w:r>
        <w:t>70</w:t>
      </w:r>
      <w:r>
        <w:t>余次，落实非现场执法</w:t>
      </w:r>
      <w:r>
        <w:t>1437</w:t>
      </w:r>
      <w:r>
        <w:t>次。积极指导</w:t>
      </w:r>
      <w:r>
        <w:t>1.16</w:t>
      </w:r>
      <w:r>
        <w:t>万家企业安装使用山东省生态环境保护综合执法智慧监管系统企业端，线上反馈整改情况，执法部门线上审核后，同步修复环</w:t>
      </w:r>
      <w:r>
        <w:rPr>
          <w:rFonts w:hint="eastAsia"/>
        </w:rPr>
        <w:t>境信用，提高问题线上整改率，进一步压减现场执法检查频次，</w:t>
      </w:r>
      <w:r>
        <w:t>2022</w:t>
      </w:r>
      <w:r>
        <w:t>年通过线上整改的问题数量达</w:t>
      </w:r>
      <w:r>
        <w:t>695</w:t>
      </w:r>
      <w:r>
        <w:t>个，核实整改率</w:t>
      </w:r>
      <w:r>
        <w:t>99.43%</w:t>
      </w:r>
      <w:r>
        <w:t>。</w:t>
      </w:r>
    </w:p>
    <w:p w:rsidR="00423DDE" w:rsidRDefault="00423DDE" w:rsidP="00423DDE">
      <w:pPr>
        <w:ind w:firstLineChars="200" w:firstLine="420"/>
      </w:pPr>
      <w:r>
        <w:rPr>
          <w:rFonts w:hint="eastAsia"/>
        </w:rPr>
        <w:t>四是建立健全非现场执法工作机制。认真落实《山东省生态环境保护非现场监管执法工作指南（试行）》，推进“线索排查—问题核实—调查处置—整改反馈—规范提升”“线上</w:t>
      </w:r>
      <w:r>
        <w:t>+</w:t>
      </w:r>
      <w:r>
        <w:t>线下</w:t>
      </w:r>
      <w:r>
        <w:t>”</w:t>
      </w:r>
      <w:r>
        <w:t>联动，打通监管执法、问题整改、信用修复的闭环工作机制。强化大数据综合采集、分析研判，精准排查问题线索，精准锁定问题源头，统筹执法资源和力量，切实推进靶向发力、精准执法。进一步提升工作标准、明确完成时限，压实责任要求，推进形成监管执法合力。积极打造线上执法培训平台，采用</w:t>
      </w:r>
      <w:r>
        <w:t>“</w:t>
      </w:r>
      <w:r>
        <w:t>生态环保大讲堂</w:t>
      </w:r>
      <w:r>
        <w:t>”</w:t>
      </w:r>
      <w:r>
        <w:t>和</w:t>
      </w:r>
      <w:r>
        <w:t>“</w:t>
      </w:r>
      <w:r>
        <w:t>执法办案大讲堂</w:t>
      </w:r>
      <w:r>
        <w:t>”</w:t>
      </w:r>
      <w:r>
        <w:t>等云授课方式，定期开展业务培训，组织开展执</w:t>
      </w:r>
      <w:r>
        <w:rPr>
          <w:rFonts w:hint="eastAsia"/>
        </w:rPr>
        <w:t>法岗位培训，</w:t>
      </w:r>
      <w:r>
        <w:t>2022</w:t>
      </w:r>
      <w:r>
        <w:t>年培训执法人员</w:t>
      </w:r>
      <w:r>
        <w:t>330</w:t>
      </w:r>
      <w:r>
        <w:t>人次。强化执法稽查，开展非现场执法稽查</w:t>
      </w:r>
      <w:r>
        <w:t>4</w:t>
      </w:r>
      <w:r>
        <w:t>次，对</w:t>
      </w:r>
      <w:r>
        <w:t>3</w:t>
      </w:r>
      <w:r>
        <w:t>个区县分局开展综合稽查、对</w:t>
      </w:r>
      <w:r>
        <w:t>1</w:t>
      </w:r>
      <w:r>
        <w:t>个区县分局开展专案稽查。同时，率先推出</w:t>
      </w:r>
      <w:r>
        <w:t>“</w:t>
      </w:r>
      <w:r>
        <w:t>规范文明执法评价系统</w:t>
      </w:r>
      <w:r>
        <w:t>”</w:t>
      </w:r>
      <w:r>
        <w:t>，全面施行规范文明执法评价制度，推动将规范文明执法</w:t>
      </w:r>
      <w:r>
        <w:t>“</w:t>
      </w:r>
      <w:r>
        <w:t>码上</w:t>
      </w:r>
      <w:r>
        <w:t>”</w:t>
      </w:r>
      <w:r>
        <w:t>评价纳入全市生态环境日常执法检查工作规程，主动接受执法对象对生态环境执法的监督、评价，促进严格规范公正文明执法，持续优化营商环境，已收集执法对象各类评价信息</w:t>
      </w:r>
      <w:r>
        <w:t>1300</w:t>
      </w:r>
      <w:r>
        <w:t>余条。</w:t>
      </w:r>
    </w:p>
    <w:p w:rsidR="00423DDE" w:rsidRDefault="00423DDE" w:rsidP="00827DFC">
      <w:pPr>
        <w:jc w:val="right"/>
      </w:pPr>
      <w:r w:rsidRPr="00827DFC">
        <w:rPr>
          <w:rFonts w:hint="eastAsia"/>
        </w:rPr>
        <w:t>济南市生态环境</w:t>
      </w:r>
      <w:r>
        <w:rPr>
          <w:rFonts w:hint="eastAsia"/>
        </w:rPr>
        <w:t>局</w:t>
      </w:r>
      <w:r>
        <w:rPr>
          <w:rFonts w:hint="eastAsia"/>
        </w:rPr>
        <w:t>2023-3-10</w:t>
      </w:r>
    </w:p>
    <w:p w:rsidR="00423DDE" w:rsidRDefault="00423DDE" w:rsidP="004779B6">
      <w:pPr>
        <w:sectPr w:rsidR="00423DDE" w:rsidSect="004779B6">
          <w:type w:val="continuous"/>
          <w:pgSz w:w="11906" w:h="16838"/>
          <w:pgMar w:top="1644" w:right="1236" w:bottom="1418" w:left="1814" w:header="851" w:footer="907" w:gutter="0"/>
          <w:pgNumType w:start="1"/>
          <w:cols w:space="720"/>
          <w:docGrid w:type="lines" w:linePitch="341" w:charSpace="2373"/>
        </w:sectPr>
      </w:pPr>
    </w:p>
    <w:p w:rsidR="00950000" w:rsidRDefault="00950000"/>
    <w:sectPr w:rsidR="009500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3DDE"/>
    <w:rsid w:val="00423DDE"/>
    <w:rsid w:val="009500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3D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23D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1718</Characters>
  <Application>Microsoft Office Word</Application>
  <DocSecurity>0</DocSecurity>
  <Lines>14</Lines>
  <Paragraphs>4</Paragraphs>
  <ScaleCrop>false</ScaleCrop>
  <Company>Microsoft</Company>
  <LinksUpToDate>false</LinksUpToDate>
  <CharactersWithSpaces>2015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2023-03-14T09:28:00Z</dcterms:created>
</cp:coreProperties>
</file>