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1662" w:rsidRDefault="00561662" w:rsidP="00562FC3">
      <w:pPr>
        <w:pStyle w:val="1"/>
      </w:pPr>
      <w:r w:rsidRPr="00562FC3">
        <w:rPr>
          <w:rFonts w:hint="eastAsia"/>
        </w:rPr>
        <w:t>后疫情时代大背景下，中小企业的机遇以及该如何“狂飙”作为？</w:t>
      </w:r>
    </w:p>
    <w:p w:rsidR="00561662" w:rsidRDefault="00561662" w:rsidP="00561662">
      <w:pPr>
        <w:ind w:firstLineChars="200" w:firstLine="420"/>
      </w:pPr>
      <w:r>
        <w:rPr>
          <w:rFonts w:hint="eastAsia"/>
        </w:rPr>
        <w:t>每一次危机都是对既有格局的重塑，每一次变局孕育着新的机遇。在后疫情时代开局的大背景下，市场预期中国可能在</w:t>
      </w:r>
      <w:r>
        <w:t>2028-2030</w:t>
      </w:r>
      <w:r>
        <w:t>年</w:t>
      </w:r>
      <w:r>
        <w:t>GDP</w:t>
      </w:r>
      <w:r>
        <w:t>总量超过美国，成为全球第一大经济体，这不仅意味着中国的投资与发展机会，也是中小企业在时代中面临最重要的机遇，既如此，中小企业又该如何作为呢？</w:t>
      </w:r>
    </w:p>
    <w:p w:rsidR="00561662" w:rsidRDefault="00561662" w:rsidP="00561662">
      <w:pPr>
        <w:ind w:firstLineChars="200" w:firstLine="420"/>
      </w:pPr>
      <w:r>
        <w:rPr>
          <w:rFonts w:hint="eastAsia"/>
        </w:rPr>
        <w:t>一、后疫情时代，债务是经济重启的关键</w:t>
      </w:r>
    </w:p>
    <w:p w:rsidR="00561662" w:rsidRDefault="00561662" w:rsidP="00561662">
      <w:pPr>
        <w:ind w:firstLineChars="200" w:firstLine="420"/>
      </w:pPr>
      <w:r>
        <w:t>1</w:t>
      </w:r>
      <w:r>
        <w:t>、债务对中国实体经济有着重大影响</w:t>
      </w:r>
    </w:p>
    <w:p w:rsidR="00561662" w:rsidRDefault="00561662" w:rsidP="00561662">
      <w:pPr>
        <w:ind w:firstLineChars="200" w:firstLine="420"/>
      </w:pPr>
      <w:r>
        <w:rPr>
          <w:rFonts w:hint="eastAsia"/>
        </w:rPr>
        <w:t>基于中、美在全球化中的分工：中国负责生产、形成资产，是最大的供应链，所以中国主要的角色是资产端；美国负责消费、创造债务，是最大的市场，所以美国主要的角色是债务端。这两者互为镜像，同涨同落。与此同时，这也意味着中国的短板是债务端，美国的短板是资产端。</w:t>
      </w:r>
    </w:p>
    <w:p w:rsidR="00561662" w:rsidRDefault="00561662" w:rsidP="00561662">
      <w:pPr>
        <w:ind w:firstLineChars="200" w:firstLine="420"/>
      </w:pPr>
      <w:r>
        <w:rPr>
          <w:rFonts w:hint="eastAsia"/>
        </w:rPr>
        <w:t>由于“资产”</w:t>
      </w:r>
      <w:r>
        <w:t>=“</w:t>
      </w:r>
      <w:r>
        <w:t>债务</w:t>
      </w:r>
      <w:r>
        <w:t>”+“</w:t>
      </w:r>
      <w:r>
        <w:t>所有者权益</w:t>
      </w:r>
      <w:r>
        <w:t>”</w:t>
      </w:r>
      <w:r>
        <w:t>，这表示任何一端的收缩，另一端也必然随之收缩。在很多人看来，债务的减少永远是</w:t>
      </w:r>
      <w:r>
        <w:t>“</w:t>
      </w:r>
      <w:r>
        <w:t>好的</w:t>
      </w:r>
      <w:r>
        <w:t>”</w:t>
      </w:r>
      <w:r>
        <w:t>，但在所有者权益不变的条件下，债务的减少，就一定会出现资产过剩。并且在债务端和需求的弹性远大于资产端的情况下。一个小的债务变化，会引起消费成倍的变化。疫情开放后各地消费市场的火爆，说明疫情对经济的影响虽然巨大，但并不会伤筋动骨，也进一步说明了中国经济真正的危机，是债务端的急剧萎缩。大环境下借款人的减少，银行债务不断缩减，海量的货币以储蓄和准备金的形式堆积在商业银行，最终导致市场上流通的货</w:t>
      </w:r>
      <w:r>
        <w:rPr>
          <w:rFonts w:hint="eastAsia"/>
        </w:rPr>
        <w:t>币越来越少，萎缩的需求和过剩的产能共同导致了市场的恶性通货紧缩。</w:t>
      </w:r>
    </w:p>
    <w:p w:rsidR="00561662" w:rsidRDefault="00561662" w:rsidP="00561662">
      <w:pPr>
        <w:ind w:firstLineChars="200" w:firstLine="420"/>
      </w:pPr>
      <w:r>
        <w:rPr>
          <w:rFonts w:hint="eastAsia"/>
        </w:rPr>
        <w:t>因此在后疫情时代美国与中国脱钩的背景下，中国就必须摆脱对美国债务（市场）的依赖，构筑独立的资产负债表，扩大内需，成为债务和市场的提供者。要想扩大内需就必须把“恢复和扩大消费摆在优先位置”，因为消费总规模取决于流入市场的货币总量，货币多则市场大，货币少则市场小，而债务规模是货币供给的总开关。因此，只有快速扩张债务，才能构建和维持中国的资产负债表屹立不倒。</w:t>
      </w:r>
    </w:p>
    <w:p w:rsidR="00561662" w:rsidRDefault="00561662" w:rsidP="00561662">
      <w:pPr>
        <w:ind w:firstLineChars="200" w:firstLine="420"/>
      </w:pPr>
      <w:r>
        <w:t>2</w:t>
      </w:r>
      <w:r>
        <w:t>、拯救房地产市场，保住存量不动产的价值</w:t>
      </w:r>
    </w:p>
    <w:p w:rsidR="00561662" w:rsidRDefault="00561662" w:rsidP="00561662">
      <w:pPr>
        <w:ind w:firstLineChars="200" w:firstLine="420"/>
      </w:pPr>
      <w:r>
        <w:rPr>
          <w:rFonts w:hint="eastAsia"/>
        </w:rPr>
        <w:t>如果说债务是消费规模的总开关，那么决定债务规模的房地产就是重启消费的关键。与依赖外部资本的发达国家不同，中国的资产负债表不是中央银行创造的，而是商业银行创造的。而规模堪比美国股市的房地产市场，则是商业银行的高质量抵押品，使得商业银行海量发债成为可能。因此，在没有任何新增的资产能够替代房地产作为银行抵押品的前提下，就算房地产有再多问题，也要先把市场救活，否则系统性风险就是毫无悬念的结果。</w:t>
      </w:r>
    </w:p>
    <w:p w:rsidR="00561662" w:rsidRDefault="00561662" w:rsidP="00561662">
      <w:pPr>
        <w:ind w:firstLineChars="200" w:firstLine="420"/>
      </w:pPr>
      <w:r>
        <w:rPr>
          <w:rFonts w:hint="eastAsia"/>
        </w:rPr>
        <w:t>但是，拯救房地产市场不能单单靠开发更多的地、卖更多的房，而是要保住“现有存量不动产的价值”，恢复房地产的流动性。有人看涨，才有投资价值，房地产复活了，才能恢复其作为抵押品的价值。</w:t>
      </w:r>
    </w:p>
    <w:p w:rsidR="00561662" w:rsidRDefault="00561662" w:rsidP="00561662">
      <w:pPr>
        <w:ind w:firstLineChars="200" w:firstLine="420"/>
      </w:pPr>
      <w:r>
        <w:rPr>
          <w:rFonts w:hint="eastAsia"/>
        </w:rPr>
        <w:t>在后疫情时代，增长迫在眉睫，但是商业世界的格局已经重构。中小企业很有可能“拿着旧地图，找不到新大陆”。要想赢得发展未来，必须探寻本质、持续进化，顺应大势，响应政策，积极参与扩张中国债务（资本）规模（市场），提高危中寻机的能力，在危机中寻找重启增长的新引擎。</w:t>
      </w:r>
    </w:p>
    <w:p w:rsidR="00561662" w:rsidRDefault="00561662" w:rsidP="00561662">
      <w:pPr>
        <w:ind w:firstLineChars="200" w:firstLine="420"/>
      </w:pPr>
      <w:r>
        <w:rPr>
          <w:rFonts w:hint="eastAsia"/>
        </w:rPr>
        <w:t>二、中小企业的机遇——股票发行注册制改革</w:t>
      </w:r>
    </w:p>
    <w:p w:rsidR="00561662" w:rsidRDefault="00561662" w:rsidP="00561662">
      <w:pPr>
        <w:ind w:firstLineChars="200" w:firstLine="420"/>
      </w:pPr>
      <w:r>
        <w:rPr>
          <w:rFonts w:hint="eastAsia"/>
        </w:rPr>
        <w:t>近日，党中央、国务院批准了《全面实行股票发行注册制总体实施方案》。</w:t>
      </w:r>
      <w:r>
        <w:t>2023</w:t>
      </w:r>
      <w:r>
        <w:t>年</w:t>
      </w:r>
      <w:r>
        <w:t>2</w:t>
      </w:r>
      <w:r>
        <w:t>月</w:t>
      </w:r>
      <w:r>
        <w:t>1</w:t>
      </w:r>
      <w:r>
        <w:t>日，证监会通知，全面实行股票发行注册制改革正式启动。在审核制下，由于上市门槛较高，一家企业要想上市，一般需要</w:t>
      </w:r>
      <w:r>
        <w:t>1-3</w:t>
      </w:r>
      <w:r>
        <w:t>年的排队周期，且企业最近三年要连续盈利，净利润不得小于</w:t>
      </w:r>
      <w:r>
        <w:t>3000</w:t>
      </w:r>
      <w:r>
        <w:t>万元。这对很多有潜力的中小企业不太友好，因为无法满足连续三年盈利及净利润的硬性要求，只能选择海外上市。而在全面实行注册制下，对新股发行的条件进一步放宽，增强资本市场的包容性，全国股转系统更加契合中小企业的特点，加快了中小企业的上市融资速度，提升直接融资比</w:t>
      </w:r>
      <w:r>
        <w:rPr>
          <w:rFonts w:hint="eastAsia"/>
        </w:rPr>
        <w:t>例。除此之外，从投资者关注度来看，那些具有较强的研发创新能力、未来成长空间较大的“专精特新小巨人们”将受到投资者青睐。而中小企业又该如何把握关注度，成为“专精特新”呢？</w:t>
      </w:r>
    </w:p>
    <w:p w:rsidR="00561662" w:rsidRDefault="00561662" w:rsidP="00561662">
      <w:pPr>
        <w:ind w:firstLineChars="200" w:firstLine="420"/>
      </w:pPr>
      <w:r>
        <w:rPr>
          <w:rFonts w:hint="eastAsia"/>
        </w:rPr>
        <w:t>三、中小企业该如何“狂飙”作为？</w:t>
      </w:r>
    </w:p>
    <w:p w:rsidR="00561662" w:rsidRDefault="00561662" w:rsidP="00561662">
      <w:pPr>
        <w:ind w:firstLineChars="200" w:firstLine="420"/>
      </w:pPr>
      <w:r>
        <w:t>1</w:t>
      </w:r>
      <w:r>
        <w:t>、实行双轨制融资，境内境外两把抓</w:t>
      </w:r>
    </w:p>
    <w:p w:rsidR="00561662" w:rsidRDefault="00561662" w:rsidP="00561662">
      <w:pPr>
        <w:ind w:firstLineChars="200" w:firstLine="420"/>
      </w:pPr>
      <w:r>
        <w:rPr>
          <w:rFonts w:hint="eastAsia"/>
        </w:rPr>
        <w:t>近年来，随着资本市场稳健发展，多地上市已成为企业融资的一条康庄大道，对于企业而言，选择多地上市进可以获得融资，拓宽融资渠道，退可以留个后手防止中概政策收紧。但随着国际关系的变幻及境内外监管机构政策的不断变化，中国企业赴美上市难度加大，因此港股成为了越来越多意图境外融资企业的选择。而随着国内资本市场注册制改革的推广，也有越来越多的红筹企业（不论是已境外上市的还是未境外上市的）选择国内</w:t>
      </w:r>
      <w:r>
        <w:t>A</w:t>
      </w:r>
      <w:r>
        <w:t>股上市。而对于处在发展期的中小企业而言，可以先选择在国内（北交所）上市，等到成熟后，再考虑进行多地上市或双重上市的筹划，以此来</w:t>
      </w:r>
      <w:r>
        <w:rPr>
          <w:rFonts w:hint="eastAsia"/>
        </w:rPr>
        <w:t>增加企业的融资渠道、优化资本结构、提升品牌背书。</w:t>
      </w:r>
    </w:p>
    <w:p w:rsidR="00561662" w:rsidRDefault="00561662" w:rsidP="00561662">
      <w:pPr>
        <w:ind w:firstLineChars="200" w:firstLine="420"/>
      </w:pPr>
      <w:r>
        <w:t>2</w:t>
      </w:r>
      <w:r>
        <w:t>、把握</w:t>
      </w:r>
      <w:r>
        <w:t>“</w:t>
      </w:r>
      <w:r>
        <w:t>政策红利</w:t>
      </w:r>
      <w:r>
        <w:t>”</w:t>
      </w:r>
      <w:r>
        <w:t>，顺应趋势发展</w:t>
      </w:r>
    </w:p>
    <w:p w:rsidR="00561662" w:rsidRDefault="00561662" w:rsidP="00561662">
      <w:pPr>
        <w:ind w:firstLineChars="200" w:firstLine="420"/>
      </w:pPr>
      <w:r>
        <w:rPr>
          <w:rFonts w:hint="eastAsia"/>
        </w:rPr>
        <w:t>许多中小企业的问题，首先是体现在战略上，而不是战术上。回顾</w:t>
      </w:r>
      <w:r>
        <w:t>2022</w:t>
      </w:r>
      <w:r>
        <w:t>年，我国宏观经济面临多重下行压力，经济增速有所放缓。重启之年的</w:t>
      </w:r>
      <w:r>
        <w:t>2023</w:t>
      </w:r>
      <w:r>
        <w:t>，中国宏观经济的具体走向是什么？如何把握</w:t>
      </w:r>
      <w:r>
        <w:t>“</w:t>
      </w:r>
      <w:r>
        <w:t>政策红利</w:t>
      </w:r>
      <w:r>
        <w:t>”</w:t>
      </w:r>
      <w:r>
        <w:t>？只有准确理解并把握宏观趋势的企业，才能及时校准到正确的市场发展方向，更好地发现机遇。政府</w:t>
      </w:r>
      <w:r>
        <w:t>“</w:t>
      </w:r>
      <w:r>
        <w:t>政策红利</w:t>
      </w:r>
      <w:r>
        <w:t>”</w:t>
      </w:r>
      <w:r>
        <w:t>主要体现在以下几个方面：</w:t>
      </w:r>
    </w:p>
    <w:p w:rsidR="00561662" w:rsidRDefault="00561662" w:rsidP="00561662">
      <w:pPr>
        <w:ind w:firstLineChars="200" w:firstLine="420"/>
      </w:pPr>
      <w:r>
        <w:rPr>
          <w:rFonts w:hint="eastAsia"/>
        </w:rPr>
        <w:t>在加大资金支持方面，推动各地积极设立中小微企业和个体工商户的纾困帮扶专项资金，对生产经营出现暂时困难的中小微企业和个体工商户，对房屋租金、水电费、担保费、防疫支出、贷款贴息和社保补贴等给予专项资金支持。</w:t>
      </w:r>
    </w:p>
    <w:p w:rsidR="00561662" w:rsidRDefault="00561662" w:rsidP="00561662">
      <w:pPr>
        <w:ind w:firstLineChars="200" w:firstLine="420"/>
      </w:pPr>
      <w:r>
        <w:rPr>
          <w:rFonts w:hint="eastAsia"/>
        </w:rPr>
        <w:t>在缓解融资难、回款难方面，明确</w:t>
      </w:r>
      <w:r>
        <w:t>2022</w:t>
      </w:r>
      <w:r>
        <w:t>年国有大型商业银行力争新增普惠型小微企业贷款</w:t>
      </w:r>
      <w:r>
        <w:t>1.6</w:t>
      </w:r>
      <w:r>
        <w:t>万亿元；对受疫情影响的中小微企业和个体工商户，合理采用续贷、贷款展期、调整还款安排等方式予以支持；加强政府性融资担保、汇率避险服务和出口信用保险等对中小微企业的融资支持力度；开展防范和化解拖欠中小企业账款的专项行动。</w:t>
      </w:r>
    </w:p>
    <w:p w:rsidR="00561662" w:rsidRDefault="00561662" w:rsidP="00561662">
      <w:pPr>
        <w:ind w:firstLineChars="200" w:firstLine="420"/>
      </w:pPr>
      <w:r>
        <w:rPr>
          <w:rFonts w:hint="eastAsia"/>
        </w:rPr>
        <w:t>在推动降成本和扩需求方面，鼓励有条件的地方对中小微企业和个体工商户用电实行阶段性优惠和用水用电用气“欠费不停供”、</w:t>
      </w:r>
      <w:r>
        <w:t>6</w:t>
      </w:r>
      <w:r>
        <w:t>个月内补缴；将中小微企业宽带和专线平均资费再降</w:t>
      </w:r>
      <w:r>
        <w:t>10%</w:t>
      </w:r>
      <w:r>
        <w:t>；推动产业链关键节点中小微企业复工复产；努力扩大市场需求。</w:t>
      </w:r>
    </w:p>
    <w:p w:rsidR="00561662" w:rsidRDefault="00561662" w:rsidP="00561662">
      <w:pPr>
        <w:ind w:firstLineChars="200" w:firstLine="420"/>
      </w:pPr>
      <w:r>
        <w:t>3</w:t>
      </w:r>
      <w:r>
        <w:t>、推进数字化转型，降本增效是关键</w:t>
      </w:r>
    </w:p>
    <w:p w:rsidR="00561662" w:rsidRDefault="00561662" w:rsidP="00561662">
      <w:pPr>
        <w:ind w:firstLineChars="200" w:firstLine="420"/>
      </w:pPr>
      <w:r>
        <w:rPr>
          <w:rFonts w:hint="eastAsia"/>
        </w:rPr>
        <w:t>疫情期间，中小企业不仅订单和营收减少，而且普遍融资困难，彼时国内消费又未恢复，经营压力陡增。这也导致到了在后疫情时代，尽管经济开始复苏，但那些挣扎活下来的中小企业，却面临弹尽粮绝、生产乏力的窘境。在这样的背景下，中小企业必须做到进一步降本增效。</w:t>
      </w:r>
    </w:p>
    <w:p w:rsidR="00561662" w:rsidRDefault="00561662" w:rsidP="00561662">
      <w:pPr>
        <w:ind w:firstLineChars="200" w:firstLine="420"/>
      </w:pPr>
      <w:r>
        <w:rPr>
          <w:rFonts w:hint="eastAsia"/>
        </w:rPr>
        <w:t>相较于传统采购环节流程复杂、效率低下、精细化管理程度低的缺点而言。进行采购环节数字化转型后，从供给端的寻源、匹配，到订购、物流，再到数据、财务管理，流程更透明，操作也更便捷，既提升了采购效率，也降低了采购成本，企业也更方便控制预算和管理开支。其次，由于信息更加透明，供应商的口碑、销量更加清晰，企业能极大地降低踩坑的可能性，避免产品质量不佳等潜在风险，还能够提高企业的市场应变能力。</w:t>
      </w:r>
    </w:p>
    <w:p w:rsidR="00561662" w:rsidRDefault="00561662" w:rsidP="00561662">
      <w:pPr>
        <w:ind w:firstLineChars="200" w:firstLine="420"/>
      </w:pPr>
      <w:r>
        <w:rPr>
          <w:rFonts w:hint="eastAsia"/>
        </w:rPr>
        <w:t>后疫情时代，生存不易的中小企业，更需要提升反应机制。而采购数字化，将促使企业从“业务驱动”向“数据驱动”转变，使管理者更可能全面地把握企业现状，从而提高管理水平和决策能力。</w:t>
      </w:r>
    </w:p>
    <w:p w:rsidR="00561662" w:rsidRDefault="00561662" w:rsidP="00561662">
      <w:pPr>
        <w:ind w:firstLineChars="200" w:firstLine="420"/>
      </w:pPr>
      <w:r>
        <w:t>4</w:t>
      </w:r>
      <w:r>
        <w:t>、打造创新引擎，增强企业高质量发展动力</w:t>
      </w:r>
    </w:p>
    <w:p w:rsidR="00561662" w:rsidRDefault="00561662" w:rsidP="00561662">
      <w:pPr>
        <w:ind w:firstLineChars="200" w:firstLine="420"/>
      </w:pPr>
      <w:r>
        <w:rPr>
          <w:rFonts w:hint="eastAsia"/>
        </w:rPr>
        <w:t>后疫情时代，在中美科技脱钩日益加快，国产替代浪潮迭起的情况下，中小企业要想实现创新驱动发展：</w:t>
      </w:r>
    </w:p>
    <w:p w:rsidR="00561662" w:rsidRDefault="00561662" w:rsidP="00561662">
      <w:pPr>
        <w:ind w:firstLineChars="200" w:firstLine="420"/>
      </w:pPr>
      <w:r>
        <w:rPr>
          <w:rFonts w:hint="eastAsia"/>
        </w:rPr>
        <w:t>一是坚持战略创新，正确认识内外部发展环境，及时更新调整企业经营理念，坚持生产提供具有核心价值的产品，建立现代化的企业管理体系。</w:t>
      </w:r>
    </w:p>
    <w:p w:rsidR="00561662" w:rsidRDefault="00561662" w:rsidP="00561662">
      <w:pPr>
        <w:ind w:firstLineChars="200" w:firstLine="420"/>
      </w:pPr>
      <w:r>
        <w:rPr>
          <w:rFonts w:hint="eastAsia"/>
        </w:rPr>
        <w:t>二是企业资源配置要向创新倾斜，建立引导支持内部创新、协同创新的制度体系和激励机制，保障人才、资金和物资等方面的供给，支撑企业产品创新和技术创新。</w:t>
      </w:r>
    </w:p>
    <w:p w:rsidR="00561662" w:rsidRDefault="00561662" w:rsidP="00561662">
      <w:pPr>
        <w:ind w:firstLineChars="200" w:firstLine="420"/>
      </w:pPr>
      <w:r>
        <w:rPr>
          <w:rFonts w:hint="eastAsia"/>
        </w:rPr>
        <w:t>三是营造开放的创新研讨氛围，鼓励员工和相关协同资源参与项目的研发过程，集思广益，及时优化升级企业产品和服务。</w:t>
      </w:r>
    </w:p>
    <w:p w:rsidR="00561662" w:rsidRDefault="00561662" w:rsidP="00561662">
      <w:pPr>
        <w:ind w:firstLineChars="200" w:firstLine="420"/>
      </w:pPr>
      <w:r>
        <w:rPr>
          <w:rFonts w:hint="eastAsia"/>
        </w:rPr>
        <w:t>四是强化技术和产品创新，建立市场调研和反馈机制，掌握产品和技术创新的真实需求，提供完善的整体解决方案，谋取更广阔的市场。</w:t>
      </w:r>
    </w:p>
    <w:p w:rsidR="00561662" w:rsidRDefault="00561662" w:rsidP="00561662">
      <w:pPr>
        <w:ind w:firstLineChars="200" w:firstLine="420"/>
      </w:pPr>
      <w:r>
        <w:rPr>
          <w:rFonts w:hint="eastAsia"/>
        </w:rPr>
        <w:t>总结点评：</w:t>
      </w:r>
    </w:p>
    <w:p w:rsidR="00561662" w:rsidRDefault="00561662" w:rsidP="00561662">
      <w:pPr>
        <w:ind w:firstLineChars="200" w:firstLine="420"/>
      </w:pPr>
      <w:r>
        <w:rPr>
          <w:rFonts w:hint="eastAsia"/>
        </w:rPr>
        <w:t>在后疫情时代经济重启复苏的大背景下，随着中国经济增长动能的转换、全面注册制到来为中小企业提供了新机遇，也带来巨大挑战。中小企业应着力苦练内功、强化创新，主动求变，进一步提升企业的生存力、竞争力，朝着“专精特新”方向发展。</w:t>
      </w:r>
    </w:p>
    <w:p w:rsidR="00561662" w:rsidRDefault="00561662" w:rsidP="00562FC3">
      <w:pPr>
        <w:jc w:val="right"/>
      </w:pPr>
      <w:r w:rsidRPr="00562FC3">
        <w:t>亿云财务官</w:t>
      </w:r>
      <w:r>
        <w:rPr>
          <w:rFonts w:hint="eastAsia"/>
        </w:rPr>
        <w:t>2023-2-22</w:t>
      </w:r>
    </w:p>
    <w:p w:rsidR="00561662" w:rsidRDefault="00561662" w:rsidP="008615DF">
      <w:pPr>
        <w:sectPr w:rsidR="00561662" w:rsidSect="008615DF">
          <w:type w:val="continuous"/>
          <w:pgSz w:w="11906" w:h="16838"/>
          <w:pgMar w:top="1644" w:right="1236" w:bottom="1418" w:left="1814" w:header="851" w:footer="907" w:gutter="0"/>
          <w:pgNumType w:start="1"/>
          <w:cols w:space="720"/>
          <w:docGrid w:type="lines" w:linePitch="341" w:charSpace="2373"/>
        </w:sectPr>
      </w:pPr>
    </w:p>
    <w:p w:rsidR="00E3793B" w:rsidRDefault="00E3793B"/>
    <w:sectPr w:rsidR="00E3793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61662"/>
    <w:rsid w:val="00561662"/>
    <w:rsid w:val="00E379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616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6166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496</Words>
  <Characters>2832</Characters>
  <Application>Microsoft Office Word</Application>
  <DocSecurity>0</DocSecurity>
  <Lines>23</Lines>
  <Paragraphs>6</Paragraphs>
  <ScaleCrop>false</ScaleCrop>
  <Company>Microsoft</Company>
  <LinksUpToDate>false</LinksUpToDate>
  <CharactersWithSpaces>3322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2023-03-01T01:56:00Z</dcterms:created>
</cp:coreProperties>
</file>