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3DDD" w:rsidRDefault="006C3DDD" w:rsidP="0081759D">
      <w:pPr>
        <w:pStyle w:val="1"/>
      </w:pPr>
      <w:r w:rsidRPr="0081759D">
        <w:rPr>
          <w:rFonts w:hint="eastAsia"/>
        </w:rPr>
        <w:t>以更实举措助力民营经济更好发展</w:t>
      </w:r>
    </w:p>
    <w:p w:rsidR="006C3DDD" w:rsidRDefault="006C3DDD" w:rsidP="006C3DDD">
      <w:pPr>
        <w:ind w:firstLineChars="200" w:firstLine="420"/>
      </w:pPr>
      <w:r>
        <w:rPr>
          <w:rFonts w:hint="eastAsia"/>
        </w:rPr>
        <w:t>民营经济是我国经济社会发展的重要基础，是我国经济制度的内在要素。党的十八大以来，我国持续深化“放管服”改革，着力清“路障”破“门槛”降“成本”优“服务”，出台一系列惠企纾困政策，支持中小微企业发展。十年间，中国市场主体总量从</w:t>
      </w:r>
      <w:r>
        <w:t>2012</w:t>
      </w:r>
      <w:r>
        <w:t>年的</w:t>
      </w:r>
      <w:r>
        <w:t>5500</w:t>
      </w:r>
      <w:r>
        <w:t>万户增至目前的</w:t>
      </w:r>
      <w:r>
        <w:t>1.63</w:t>
      </w:r>
      <w:r>
        <w:t>亿户，民营企业数量翻了两番，民营经济以</w:t>
      </w:r>
      <w:r>
        <w:t>“</w:t>
      </w:r>
      <w:r>
        <w:t>五六七八九</w:t>
      </w:r>
      <w:r>
        <w:t>”</w:t>
      </w:r>
      <w:r>
        <w:t>的显著特征为我国经济社会发展发挥了举足轻重的作用。</w:t>
      </w:r>
    </w:p>
    <w:p w:rsidR="006C3DDD" w:rsidRDefault="006C3DDD" w:rsidP="006C3DDD">
      <w:pPr>
        <w:ind w:firstLineChars="200" w:firstLine="420"/>
      </w:pPr>
      <w:r>
        <w:rPr>
          <w:rFonts w:hint="eastAsia"/>
        </w:rPr>
        <w:t>党的二十大报告指出，促进民营经济发展壮大。去年底召开的中央经济工作会议上，习近平总书记强调，“要从制度和法律上把对国企民企平等对待的要求落下来，从政策和舆论上鼓励支持民营经济和民营企业发展壮大”。当前，受外部环境不确定性加剧和疫情影响，民营企业特别是中小微企业、个体工商户生产经营困难依然较多，特别是影响和制约民营企业高质量发展的一些突出问题还有待解决，如对民营经济的偏见仍然存在，表面上市场主体平等，实际上还是“一碗水端不平”；资金短缺、创新乏力、内需拉动不足普遍存在，等等，需要以更实举措进一步帮助市场主体提信心、解难题、复元气、增活力。</w:t>
      </w:r>
    </w:p>
    <w:p w:rsidR="006C3DDD" w:rsidRDefault="006C3DDD" w:rsidP="006C3DDD">
      <w:pPr>
        <w:ind w:firstLineChars="200" w:firstLine="420"/>
      </w:pPr>
      <w:r>
        <w:rPr>
          <w:rFonts w:hint="eastAsia"/>
        </w:rPr>
        <w:t>在政策支持方面，突出降本减负和融资纾困两个重点。</w:t>
      </w:r>
    </w:p>
    <w:p w:rsidR="006C3DDD" w:rsidRDefault="006C3DDD" w:rsidP="006C3DDD">
      <w:pPr>
        <w:ind w:firstLineChars="200" w:firstLine="420"/>
      </w:pPr>
      <w:r>
        <w:rPr>
          <w:rFonts w:hint="eastAsia"/>
        </w:rPr>
        <w:t>继续发挥减税降费作用，对延续疫情防控期间助企纾困政策的落实情况专项督查问效，强化财政资金直达基层机制，提升基层政策落实和兑现能力。清理精减涉及民间投资管理的行政审批事项，规范中间环节、中介组织行为；建立健全税费收缴清单公示制度，加大“三乱”查处惩治，减少企业“避祸”性支出；将解决拖欠民营企业、中小微企业账款问题列入政府督查内容。健全融资增信支持体系，加大信贷资金直达市场主体的考核比重，拓宽多层次资本市场中民营企业直接融资渠道；加大“一网通办”等信息化手段服务市场主体力度，变“人找政策”为“政策找人”，提升政策实施精准性实效性。</w:t>
      </w:r>
    </w:p>
    <w:p w:rsidR="006C3DDD" w:rsidRDefault="006C3DDD" w:rsidP="006C3DDD">
      <w:pPr>
        <w:ind w:firstLineChars="200" w:firstLine="420"/>
      </w:pPr>
      <w:r>
        <w:rPr>
          <w:rFonts w:hint="eastAsia"/>
        </w:rPr>
        <w:t>在营商环境方面，抓住深化改革和强化法治两个关键。</w:t>
      </w:r>
    </w:p>
    <w:p w:rsidR="006C3DDD" w:rsidRDefault="006C3DDD" w:rsidP="006C3DDD">
      <w:pPr>
        <w:ind w:firstLineChars="200" w:firstLine="420"/>
      </w:pPr>
      <w:r>
        <w:rPr>
          <w:rFonts w:hint="eastAsia"/>
        </w:rPr>
        <w:t>持续深化简政放权、放管结合、优化服务改革，以清单式方式明确政府行为边界，在法治框架内按市场经济规律调整利益主体关系，实现企业办事无忧、政府无事不扰。清理和修订违反公平开放透明市场规则的法律和政策规定，加快构建全国统一大市场，完善产权保护、市场准入、公平竞争、社会信用等市场经济基础制度，保障各类所有制企业依法平等使用资源要素。大力促进民间投资，研究出台民间投资促进法，完善民营企业参与国家重大战略、国家重大科技项目攻关，以及铁路、新基建等重大基础设施实施机制，排查和消除招投标等对国企民企隐形壁垒，出台支持民企参与国企混改政策规定。健全执法司法对国企民企平等保护机制，完善工商联维权服务体系，运用好“万所联万会”涉案企业合规第三方监督评估机制等，依法保护民营企业产权和企业家权益。</w:t>
      </w:r>
    </w:p>
    <w:p w:rsidR="006C3DDD" w:rsidRDefault="006C3DDD" w:rsidP="006C3DDD">
      <w:pPr>
        <w:ind w:firstLineChars="200" w:firstLine="420"/>
      </w:pPr>
      <w:r>
        <w:rPr>
          <w:rFonts w:hint="eastAsia"/>
        </w:rPr>
        <w:t>在社会共识方面，用好宣传引导和包容监管两个抓手。</w:t>
      </w:r>
    </w:p>
    <w:p w:rsidR="006C3DDD" w:rsidRDefault="006C3DDD" w:rsidP="006C3DDD">
      <w:pPr>
        <w:ind w:firstLineChars="200" w:firstLine="420"/>
      </w:pPr>
      <w:r>
        <w:rPr>
          <w:rFonts w:hint="eastAsia"/>
        </w:rPr>
        <w:t>一方面，持续加强党中央大政方针和决策部署以及民营经济领域“两个健康”典型案例的宣传，对社会上出现的涉及民营经济的错误言论和噪声杂音坚决予以驳斥，对网络论战规范管理，对人为造成恐慌严肃处理，以导向鲜明的舆论环境稳定人心、鼓舞人心、凝聚人心，促进“两个毫不动摇”、三个“没有变”、“民营企业和民营企业家是我们自己人”等落实到经济社会发展全领域、各环节，消除民企“小富即安、大富不安”情绪。另一方面，对网络购物、快递配送、远程办公、线上教育等新经济新业态新模式发展秉持开放包容理念，在坚守安全和质量底线前提下，鼓励开展“沙盒”监管、触发式监管试点，支持“三新”经济发展壮大。</w:t>
      </w:r>
    </w:p>
    <w:p w:rsidR="006C3DDD" w:rsidRDefault="006C3DDD" w:rsidP="006C3DDD">
      <w:pPr>
        <w:ind w:firstLineChars="200" w:firstLine="420"/>
      </w:pPr>
      <w:r>
        <w:rPr>
          <w:rFonts w:hint="eastAsia"/>
        </w:rPr>
        <w:t>促进民营经济发展壮大，是长久之策，不是权宜之计。坚持问题导向和效果导向，务求实效完善政策举措，久久为功优化发展环境，我国民营经济必将走向更加广阔舞台，在中国式现代化的伟大征程中绽放夺目光彩。</w:t>
      </w:r>
    </w:p>
    <w:p w:rsidR="006C3DDD" w:rsidRPr="0081759D" w:rsidRDefault="006C3DDD" w:rsidP="0081759D">
      <w:pPr>
        <w:jc w:val="right"/>
      </w:pPr>
      <w:r w:rsidRPr="0081759D">
        <w:rPr>
          <w:rFonts w:hint="eastAsia"/>
        </w:rPr>
        <w:t>中华工商时报社</w:t>
      </w:r>
      <w:r>
        <w:rPr>
          <w:rFonts w:hint="eastAsia"/>
        </w:rPr>
        <w:t>2023-2-28</w:t>
      </w:r>
    </w:p>
    <w:p w:rsidR="006C3DDD" w:rsidRDefault="006C3DDD" w:rsidP="008615DF">
      <w:pPr>
        <w:sectPr w:rsidR="006C3DDD" w:rsidSect="008615D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8522C" w:rsidRDefault="0028522C"/>
    <w:sectPr w:rsidR="0028522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C3DDD"/>
    <w:rsid w:val="0028522C"/>
    <w:rsid w:val="006C3D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C3DD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C3DD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232</Words>
  <Characters>1324</Characters>
  <Application>Microsoft Office Word</Application>
  <DocSecurity>0</DocSecurity>
  <Lines>11</Lines>
  <Paragraphs>3</Paragraphs>
  <ScaleCrop>false</ScaleCrop>
  <Company>Microsoft</Company>
  <LinksUpToDate>false</LinksUpToDate>
  <CharactersWithSpaces>1553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2023-03-01T01:56:00Z</dcterms:created>
</cp:coreProperties>
</file>