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D44" w:rsidRDefault="00BD1D44" w:rsidP="00B5081F">
      <w:pPr>
        <w:pStyle w:val="1"/>
      </w:pPr>
      <w:r>
        <w:rPr>
          <w:rFonts w:hint="eastAsia"/>
        </w:rPr>
        <w:t>奉化</w:t>
      </w:r>
      <w:r w:rsidRPr="00B5081F">
        <w:rPr>
          <w:rFonts w:hint="eastAsia"/>
        </w:rPr>
        <w:t>区市场监管局</w:t>
      </w:r>
      <w:r w:rsidRPr="00B5081F">
        <w:t>2022年工作总结及明年工作思路</w:t>
      </w:r>
    </w:p>
    <w:p w:rsidR="00BD1D44" w:rsidRDefault="00BD1D44" w:rsidP="00BD1D44">
      <w:pPr>
        <w:ind w:firstLineChars="200" w:firstLine="420"/>
      </w:pPr>
      <w:r>
        <w:t>2022</w:t>
      </w:r>
      <w:r>
        <w:t>年，区市场监管局牢牢把握省局、市局工作要求，紧紧围绕区委区政府中心工作，坚定捍卫</w:t>
      </w:r>
      <w:r>
        <w:t>“</w:t>
      </w:r>
      <w:r>
        <w:t>两个确立</w:t>
      </w:r>
      <w:r>
        <w:t>”</w:t>
      </w:r>
      <w:r>
        <w:t>，坚决做到</w:t>
      </w:r>
      <w:r>
        <w:t>“</w:t>
      </w:r>
      <w:r>
        <w:t>两个维护</w:t>
      </w:r>
      <w:r>
        <w:t>”</w:t>
      </w:r>
      <w:r>
        <w:t>，强化</w:t>
      </w:r>
      <w:r>
        <w:t>“</w:t>
      </w:r>
      <w:r>
        <w:t>四个定位</w:t>
      </w:r>
      <w:r>
        <w:t>”</w:t>
      </w:r>
      <w:r>
        <w:t>，将</w:t>
      </w:r>
      <w:r>
        <w:t>“</w:t>
      </w:r>
      <w:r>
        <w:t>重要政治机关、综合经济部门、行政执法单位、民生保障力量</w:t>
      </w:r>
      <w:r>
        <w:t>”</w:t>
      </w:r>
      <w:r>
        <w:t>的要求贯穿于市场监管工作的全过程、全领域，充分展现市场监管部门担当有为、奋发向上的姿态。</w:t>
      </w:r>
    </w:p>
    <w:p w:rsidR="00BD1D44" w:rsidRDefault="00BD1D44" w:rsidP="00BD1D44">
      <w:pPr>
        <w:ind w:firstLineChars="200" w:firstLine="420"/>
      </w:pPr>
      <w:r>
        <w:rPr>
          <w:rFonts w:hint="eastAsia"/>
        </w:rPr>
        <w:t>一、</w:t>
      </w:r>
      <w:r>
        <w:t>2022</w:t>
      </w:r>
      <w:r>
        <w:t>年工作总结</w:t>
      </w:r>
    </w:p>
    <w:p w:rsidR="00BD1D44" w:rsidRDefault="00BD1D44" w:rsidP="00BD1D44">
      <w:pPr>
        <w:ind w:firstLineChars="200" w:firstLine="420"/>
      </w:pPr>
      <w:r>
        <w:rPr>
          <w:rFonts w:hint="eastAsia"/>
        </w:rPr>
        <w:t>（一）以“除险保安”部署要求为牵引，牢牢守住安全底线</w:t>
      </w:r>
    </w:p>
    <w:p w:rsidR="00BD1D44" w:rsidRDefault="00BD1D44" w:rsidP="00BD1D44">
      <w:pPr>
        <w:ind w:firstLineChars="200" w:firstLine="420"/>
      </w:pPr>
      <w:r>
        <w:rPr>
          <w:rFonts w:hint="eastAsia"/>
        </w:rPr>
        <w:t>严格落实食品领域“四个最严”要求，以省级食品安全示范区创建为总抓手，新增四星级食安办和三星级食安办各</w:t>
      </w:r>
      <w:r>
        <w:t>4</w:t>
      </w:r>
      <w:r>
        <w:t>家。构建专职抽检、风险研判和核查办案三支队伍协同的风险预警交流网络，建立健全食品安全风险闭环管理机制。开展</w:t>
      </w:r>
      <w:r>
        <w:t>“</w:t>
      </w:r>
      <w:r>
        <w:t>守底线、查隐患、保安全</w:t>
      </w:r>
      <w:r>
        <w:t>”</w:t>
      </w:r>
      <w:r>
        <w:t>、农村假冒伪劣食品整治、食用农产品</w:t>
      </w:r>
      <w:r>
        <w:t>“</w:t>
      </w:r>
      <w:r>
        <w:t>治违禁控药残促提升</w:t>
      </w:r>
      <w:r>
        <w:t>”</w:t>
      </w:r>
      <w:r>
        <w:t>、农产品质量安全整治等专项行动，集中解决食品安全领域突出问题。强化药品安全风险防控，开展打假治劣</w:t>
      </w:r>
      <w:r>
        <w:t>“</w:t>
      </w:r>
      <w:r>
        <w:t>药剑</w:t>
      </w:r>
      <w:r>
        <w:t>”</w:t>
      </w:r>
      <w:r>
        <w:t>、含兴奋剂药品、口腔服务领域等专项检查，排查风险隐患。严格落实常态化疫情防控。持续加固集中隔离点餐饮食品安全防线，做好</w:t>
      </w:r>
      <w:r>
        <w:rPr>
          <w:rFonts w:hint="eastAsia"/>
        </w:rPr>
        <w:t>全区集中隔离点和供餐单位的餐饮食品安全监管工作。严格落实药店疫情防控措施，及时调整药品销售要求，对监测范围的四类药品实施实名登记。做好进口冷链食品和进口水果的疫情管控工作，指导辖区专业市场和农贸市场开展疫情防控。</w:t>
      </w:r>
    </w:p>
    <w:p w:rsidR="00BD1D44" w:rsidRDefault="00BD1D44" w:rsidP="00BD1D44">
      <w:pPr>
        <w:ind w:firstLineChars="200" w:firstLine="420"/>
      </w:pPr>
      <w:r>
        <w:rPr>
          <w:rFonts w:hint="eastAsia"/>
        </w:rPr>
        <w:t>持续开展重点领域“铁拳”“亮剑”执法行动，加大食品安全、知识产权保护、消费维权等领域的执法力度。强化行政执法和刑事司法衔接，畅通案件查处和信息共享渠道，移送公安立案侦查案件</w:t>
      </w:r>
      <w:r>
        <w:t>6</w:t>
      </w:r>
      <w:r>
        <w:t>件。全力推进文明典范城市、平安建设等创建，全面保障辖区市场监管领域安全稳定。以简易升降机、停用锅炉、大型游乐设施、公共场所电梯等为重点大力开展特种设备领域大排查，完成全区在用燃气管网清查，严厉打击违规收购报废气瓶行为。守住质量安全底线，开展燃气相关产品、电动自行车、电线电缆、农机产品等重点产品强制性认证专项检查，强制检定非自动衡器、加油</w:t>
      </w:r>
      <w:r>
        <w:rPr>
          <w:rFonts w:hint="eastAsia"/>
        </w:rPr>
        <w:t>机、膜式燃气表、民用饮用水表等计量器具近</w:t>
      </w:r>
      <w:r>
        <w:t>3.56</w:t>
      </w:r>
      <w:r>
        <w:t>万台（件）。</w:t>
      </w:r>
    </w:p>
    <w:p w:rsidR="00BD1D44" w:rsidRDefault="00BD1D44" w:rsidP="00BD1D44">
      <w:pPr>
        <w:ind w:firstLineChars="200" w:firstLine="420"/>
      </w:pPr>
      <w:r>
        <w:rPr>
          <w:rFonts w:hint="eastAsia"/>
        </w:rPr>
        <w:t>（二）以“放管服”集成改革为抓手，激发市场主体活力</w:t>
      </w:r>
    </w:p>
    <w:p w:rsidR="00BD1D44" w:rsidRDefault="00BD1D44" w:rsidP="00BD1D44">
      <w:pPr>
        <w:ind w:firstLineChars="200" w:firstLine="420"/>
      </w:pPr>
      <w:r>
        <w:rPr>
          <w:rFonts w:hint="eastAsia"/>
        </w:rPr>
        <w:t>推动商事登记制度改革提速，完善“一件事”办理，全方位覆盖企业开办、市内跨区迁移、歇业备案、注销等生命全周期。提高注册登记标准化、规范化、便利化水平。成立奉化区扶持个体工商户纾困发展联席会议，发布《关于扶持个体工商户纾困发展的若干意见》，扎实推进个体户纾困帮扶工作，提高个体工商户纾困指数，在税费减免、国有房产租金减免、电价优惠、失业保险稳岗返还、金融帮扶等方面抓好政策落实，并有效建立信息报送反馈机制，助力个体工商户稳步发展。</w:t>
      </w:r>
    </w:p>
    <w:p w:rsidR="00BD1D44" w:rsidRDefault="00BD1D44" w:rsidP="00BD1D44">
      <w:pPr>
        <w:ind w:firstLineChars="200" w:firstLine="420"/>
      </w:pPr>
      <w:r>
        <w:rPr>
          <w:rFonts w:hint="eastAsia"/>
        </w:rPr>
        <w:t>立足我区气动产业实际，按照“市场导向、政府推动、创新驱动、协同发展”的原则，将建设“数字浙江”与打造质量基础“一站式服务”相结合，引导气动产业向集成化、高端化、智能化与绿色环保的方向发展，稳步推进工信部关键基础件创新成果产业化公共服务平台和浙江省气动产业创新服务综合体建设，激发气动产业核心动能。打造“医用气体供应质量追溯系统”，运用信息化手段探索“非现场”远程监管模式，囊括质量管理、非现场监管、黑匣子监控预警、档案形成等功能，有效解决跨时空监管难题，该系统被列入我区</w:t>
      </w:r>
      <w:r>
        <w:t>2022</w:t>
      </w:r>
      <w:r>
        <w:t>年度十大数字化改革项目之一。</w:t>
      </w:r>
    </w:p>
    <w:p w:rsidR="00BD1D44" w:rsidRDefault="00BD1D44" w:rsidP="00BD1D44">
      <w:pPr>
        <w:ind w:firstLineChars="200" w:firstLine="420"/>
      </w:pPr>
      <w:r>
        <w:rPr>
          <w:rFonts w:hint="eastAsia"/>
        </w:rPr>
        <w:t>（三）以“人民满意”价值理念为导向，真抓实干保障民生</w:t>
      </w:r>
    </w:p>
    <w:p w:rsidR="00BD1D44" w:rsidRDefault="00BD1D44" w:rsidP="00BD1D44">
      <w:pPr>
        <w:ind w:firstLineChars="200" w:firstLine="420"/>
      </w:pPr>
      <w:r>
        <w:rPr>
          <w:rFonts w:hint="eastAsia"/>
        </w:rPr>
        <w:t>强化责任担当，持续优化放心消费环境。突出首问责任，共计受理、分流、处置、回复回访各类消费举报投诉信访事项</w:t>
      </w:r>
      <w:r>
        <w:t>2905</w:t>
      </w:r>
      <w:r>
        <w:t>件。完善消费纠纷诉调对接机制，联合区法院建立消费纠纷共享法庭，进一步扩大诉调对接范围。通过组织现场咨询活动、发布</w:t>
      </w:r>
      <w:r>
        <w:t>2021</w:t>
      </w:r>
      <w:r>
        <w:t>年消费维权十大典型案例等方式，向消费者生动呈现消费维权法律知识。</w:t>
      </w:r>
    </w:p>
    <w:p w:rsidR="00BD1D44" w:rsidRDefault="00BD1D44" w:rsidP="00BD1D44">
      <w:pPr>
        <w:ind w:firstLineChars="200" w:firstLine="420"/>
      </w:pPr>
      <w:r>
        <w:rPr>
          <w:rFonts w:hint="eastAsia"/>
        </w:rPr>
        <w:t>推进消费维权社会共治，已建成放心消费单位</w:t>
      </w:r>
      <w:r>
        <w:t>2117</w:t>
      </w:r>
      <w:r>
        <w:t>家，其中无理由退货单位</w:t>
      </w:r>
      <w:r>
        <w:t>890</w:t>
      </w:r>
      <w:r>
        <w:t>家、放心工厂</w:t>
      </w:r>
      <w:r>
        <w:t>275</w:t>
      </w:r>
      <w:r>
        <w:t>家、放心街区</w:t>
      </w:r>
      <w:r>
        <w:t>6</w:t>
      </w:r>
      <w:r>
        <w:t>家。培育放心消费乡村</w:t>
      </w:r>
      <w:r>
        <w:t>4</w:t>
      </w:r>
      <w:r>
        <w:t>个、放心消费社区</w:t>
      </w:r>
      <w:r>
        <w:t>1</w:t>
      </w:r>
      <w:r>
        <w:t>个，设立消费维权服务站</w:t>
      </w:r>
      <w:r>
        <w:t>56</w:t>
      </w:r>
      <w:r>
        <w:t>家，推进消费矛盾纠纷维权自行化解机制。落实经营者消费维权主体责任，健全社会化消费维权网络体系，鼓励大型专业市场、街区设立先行赔付制度，目前已有</w:t>
      </w:r>
      <w:r>
        <w:t>7</w:t>
      </w:r>
      <w:r>
        <w:t>个街区（商超、市场）建立先行赔付制度，</w:t>
      </w:r>
      <w:r>
        <w:t>90</w:t>
      </w:r>
      <w:r>
        <w:t>家企业成为</w:t>
      </w:r>
      <w:r>
        <w:t>ODR</w:t>
      </w:r>
      <w:r>
        <w:t>（消费纠纷在线化解）企业。</w:t>
      </w:r>
    </w:p>
    <w:p w:rsidR="00BD1D44" w:rsidRDefault="00BD1D44" w:rsidP="00BD1D44">
      <w:pPr>
        <w:ind w:firstLineChars="200" w:firstLine="420"/>
      </w:pPr>
      <w:r>
        <w:rPr>
          <w:rFonts w:hint="eastAsia"/>
        </w:rPr>
        <w:t>积极配合年度市民生实事工程“甬有食安”项目落地，稳步推进我区</w:t>
      </w:r>
      <w:r>
        <w:t>6</w:t>
      </w:r>
      <w:r>
        <w:t>家农贸市场的检测能力提升、浙食链应用、经营环境改善等工作，建成网络餐饮阳光厨房</w:t>
      </w:r>
      <w:r>
        <w:t>1176</w:t>
      </w:r>
      <w:r>
        <w:t>家，有力保障了校园、老年食堂等重点餐饮单位食品安全。推动生鲜店铺安全、卫生、规范经营发展，在全市率先打造小菜行规范化样板街区</w:t>
      </w:r>
      <w:r>
        <w:t>1</w:t>
      </w:r>
      <w:r>
        <w:t>条，树立行业标杆样板</w:t>
      </w:r>
      <w:r>
        <w:t>10</w:t>
      </w:r>
      <w:r>
        <w:t>家。加大食品安全责任保险推进力度，扩大</w:t>
      </w:r>
      <w:r>
        <w:t>“</w:t>
      </w:r>
      <w:r>
        <w:t>三小</w:t>
      </w:r>
      <w:r>
        <w:t>”</w:t>
      </w:r>
      <w:r>
        <w:t>等领域商业险保障覆盖面，集体食堂、农村家宴、农贸市场等重点领域参保比例继续保持</w:t>
      </w:r>
      <w:r>
        <w:t>100%</w:t>
      </w:r>
      <w:r>
        <w:t>，在禽蛋制品、千层饼、非遗食品、雷笋产业等领域不断推广商业险。</w:t>
      </w:r>
    </w:p>
    <w:p w:rsidR="00BD1D44" w:rsidRDefault="00BD1D44" w:rsidP="00BD1D44">
      <w:pPr>
        <w:ind w:firstLineChars="200" w:firstLine="420"/>
      </w:pPr>
      <w:r>
        <w:rPr>
          <w:rFonts w:hint="eastAsia"/>
        </w:rPr>
        <w:t>新投入运行</w:t>
      </w:r>
      <w:r>
        <w:t>2</w:t>
      </w:r>
      <w:r>
        <w:t>家三星</w:t>
      </w:r>
      <w:r>
        <w:t>“</w:t>
      </w:r>
      <w:r>
        <w:t>民生药事服务站</w:t>
      </w:r>
      <w:r>
        <w:t>”</w:t>
      </w:r>
      <w:r>
        <w:t>，更好地发挥零售药店的便民、服务、科普效用，提升人民群众购药用药的体验感和获得感。</w:t>
      </w:r>
    </w:p>
    <w:p w:rsidR="00BD1D44" w:rsidRDefault="00BD1D44" w:rsidP="00BD1D44">
      <w:pPr>
        <w:ind w:firstLineChars="200" w:firstLine="420"/>
      </w:pPr>
      <w:r>
        <w:rPr>
          <w:rFonts w:hint="eastAsia"/>
        </w:rPr>
        <w:t>（四）以推动高质量发展为目标，激发创新动能活力</w:t>
      </w:r>
    </w:p>
    <w:p w:rsidR="00BD1D44" w:rsidRDefault="00BD1D44" w:rsidP="00BD1D44">
      <w:pPr>
        <w:ind w:firstLineChars="200" w:firstLine="420"/>
      </w:pPr>
      <w:r>
        <w:rPr>
          <w:rFonts w:hint="eastAsia"/>
        </w:rPr>
        <w:t>推动创造高质量知识产权成果，知识产权工作“量质齐升”。全区新增发明专利授权量</w:t>
      </w:r>
      <w:r>
        <w:t>307</w:t>
      </w:r>
      <w:r>
        <w:t>件，有效发明专利拥有量达到</w:t>
      </w:r>
      <w:r>
        <w:t>1432</w:t>
      </w:r>
      <w:r>
        <w:t>件，</w:t>
      </w:r>
      <w:r>
        <w:t>9</w:t>
      </w:r>
      <w:r>
        <w:t>家企业被认定为国家知识产权优势企业和首批浙江省知识产权示范企业。新增浙江制造</w:t>
      </w:r>
      <w:r>
        <w:t>1</w:t>
      </w:r>
      <w:r>
        <w:t>个，新增</w:t>
      </w:r>
      <w:r>
        <w:t>“</w:t>
      </w:r>
      <w:r>
        <w:t>品字标</w:t>
      </w:r>
      <w:r>
        <w:t>”</w:t>
      </w:r>
      <w:r>
        <w:t>企业</w:t>
      </w:r>
      <w:r>
        <w:t>9</w:t>
      </w:r>
      <w:r>
        <w:t>家、卓越绩效管理验收企业</w:t>
      </w:r>
      <w:r>
        <w:t>2</w:t>
      </w:r>
      <w:r>
        <w:t>家、</w:t>
      </w:r>
      <w:r>
        <w:t>“</w:t>
      </w:r>
      <w:r>
        <w:t>同质同标同线</w:t>
      </w:r>
      <w:r>
        <w:t>”</w:t>
      </w:r>
      <w:r>
        <w:t>企业</w:t>
      </w:r>
      <w:r>
        <w:t>3</w:t>
      </w:r>
      <w:r>
        <w:t>家、绿色产品认证企业</w:t>
      </w:r>
      <w:r>
        <w:t>3</w:t>
      </w:r>
      <w:r>
        <w:t>家、培育</w:t>
      </w:r>
      <w:r>
        <w:t>30</w:t>
      </w:r>
      <w:r>
        <w:t>家企业建立首席质量官制度，</w:t>
      </w:r>
      <w:r>
        <w:t>14</w:t>
      </w:r>
      <w:r>
        <w:t>家重点企业入驻宁波保护中心</w:t>
      </w:r>
      <w:r>
        <w:t>“</w:t>
      </w:r>
      <w:r>
        <w:t>专利快速预审通道</w:t>
      </w:r>
      <w:r>
        <w:t>”</w:t>
      </w:r>
      <w:r>
        <w:t>，</w:t>
      </w:r>
      <w:r>
        <w:t>34</w:t>
      </w:r>
      <w:r>
        <w:t>家企业通过区块链公共存证平台对</w:t>
      </w:r>
      <w:r>
        <w:t>98</w:t>
      </w:r>
      <w:r>
        <w:t>件发明专利及创造进行数据存证。</w:t>
      </w:r>
    </w:p>
    <w:p w:rsidR="00BD1D44" w:rsidRDefault="00BD1D44" w:rsidP="00BD1D44">
      <w:pPr>
        <w:ind w:firstLineChars="200" w:firstLine="420"/>
      </w:pPr>
      <w:r>
        <w:rPr>
          <w:rFonts w:hint="eastAsia"/>
        </w:rPr>
        <w:t>确定宁波市知识产权交易服务中心落户奉化，培育我区知识产权创造运用优势，加快宁波知识产权创新资源集聚、配置和运用转化。</w:t>
      </w:r>
    </w:p>
    <w:p w:rsidR="00BD1D44" w:rsidRDefault="00BD1D44" w:rsidP="00BD1D44">
      <w:pPr>
        <w:ind w:firstLineChars="200" w:firstLine="420"/>
      </w:pPr>
      <w:r>
        <w:rPr>
          <w:rFonts w:hint="eastAsia"/>
        </w:rPr>
        <w:t>召开质押融资政银企对接会、“入园惠企”等活动，创新推出知惠贷、知融贷、专利贷等多种知识产权质押信贷产品，给予企业知识产权质押贷款补助，促进知识产权质押融资拓户增量。加快专利许可转化运用。</w:t>
      </w:r>
    </w:p>
    <w:p w:rsidR="00BD1D44" w:rsidRDefault="00BD1D44" w:rsidP="00BD1D44">
      <w:pPr>
        <w:ind w:firstLineChars="200" w:firstLine="420"/>
      </w:pPr>
      <w:r>
        <w:rPr>
          <w:rFonts w:hint="eastAsia"/>
        </w:rPr>
        <w:t>召开我区专利许可对接会暨专利许可培训会，开放首批许可专利</w:t>
      </w:r>
      <w:r>
        <w:t>30</w:t>
      </w:r>
      <w:r>
        <w:t>件，唤醒高校</w:t>
      </w:r>
      <w:r>
        <w:t>“</w:t>
      </w:r>
      <w:r>
        <w:t>沉睡专利</w:t>
      </w:r>
      <w:r>
        <w:t>”</w:t>
      </w:r>
      <w:r>
        <w:t>。规范专利申请行为，指导宁波君禾智能科技有限公司成功投保全国首笔</w:t>
      </w:r>
      <w:r>
        <w:t>PCT</w:t>
      </w:r>
      <w:r>
        <w:t>国际专利申请费用补偿保险，奉化千层饼、奉化水蜜桃成功投保地理标志商标专用权险。</w:t>
      </w:r>
    </w:p>
    <w:p w:rsidR="00BD1D44" w:rsidRDefault="00BD1D44" w:rsidP="00BD1D44">
      <w:pPr>
        <w:ind w:firstLineChars="200" w:firstLine="420"/>
      </w:pPr>
      <w:r>
        <w:rPr>
          <w:rFonts w:hint="eastAsia"/>
        </w:rPr>
        <w:t>二、</w:t>
      </w:r>
      <w:r>
        <w:t>2023</w:t>
      </w:r>
      <w:r>
        <w:t>年工作目标</w:t>
      </w:r>
    </w:p>
    <w:p w:rsidR="00BD1D44" w:rsidRDefault="00BD1D44" w:rsidP="00BD1D44">
      <w:pPr>
        <w:ind w:firstLineChars="200" w:firstLine="420"/>
      </w:pPr>
      <w:r>
        <w:rPr>
          <w:rFonts w:hint="eastAsia"/>
        </w:rPr>
        <w:t>（一）继续坚持“政治建局”</w:t>
      </w:r>
    </w:p>
    <w:p w:rsidR="00BD1D44" w:rsidRDefault="00BD1D44" w:rsidP="00BD1D44">
      <w:pPr>
        <w:ind w:firstLineChars="200" w:firstLine="420"/>
      </w:pPr>
      <w:r>
        <w:rPr>
          <w:rFonts w:hint="eastAsia"/>
        </w:rPr>
        <w:t>切实增强政治自觉，深入学习宣传贯彻党的二十大精神</w:t>
      </w:r>
      <w:r>
        <w:t>,</w:t>
      </w:r>
      <w:r>
        <w:t>把思想和行动统一到党的二十大精神上来，紧紧围绕省局、市局和区委区政府中心工作要求，对照上级考核要求和工作部署，对牵头负责的工作任务发挥好牵头抓总作用，快速分解目标任务、细化工作举措、倒排时间节点，全方位压实责任、强化担当，以扎实的作风赶进度、提效率、抓落实，在</w:t>
      </w:r>
      <w:r>
        <w:t>“</w:t>
      </w:r>
      <w:r>
        <w:t>两个先行</w:t>
      </w:r>
      <w:r>
        <w:t>”</w:t>
      </w:r>
      <w:r>
        <w:t>新征程上奋力推进市场监管现代化先行，为推进中国式现代化贡献市场监管力量。</w:t>
      </w:r>
    </w:p>
    <w:p w:rsidR="00BD1D44" w:rsidRDefault="00BD1D44" w:rsidP="00BD1D44">
      <w:pPr>
        <w:ind w:firstLineChars="200" w:firstLine="420"/>
      </w:pPr>
      <w:r>
        <w:rPr>
          <w:rFonts w:hint="eastAsia"/>
        </w:rPr>
        <w:t>（二）坚决守牢“四大底线”</w:t>
      </w:r>
    </w:p>
    <w:p w:rsidR="00BD1D44" w:rsidRDefault="00BD1D44" w:rsidP="00BD1D44">
      <w:pPr>
        <w:ind w:firstLineChars="200" w:firstLine="420"/>
      </w:pPr>
      <w:r>
        <w:rPr>
          <w:rFonts w:hint="eastAsia"/>
        </w:rPr>
        <w:t>全力筑牢高标准防线，统筹加强事前事中事后监管，进一步强化食品、药品、特种设备、工业产品质量安全等管理，建立健全综合治理、数管智治、社会共治，信用风险分类管理、风险防控管控机制，加大重点领域治理力度，提高抽检和监督力度，治“因”和治“果”并重，推进高水平监管，确保守牢、守住底线。</w:t>
      </w:r>
    </w:p>
    <w:p w:rsidR="00BD1D44" w:rsidRDefault="00BD1D44" w:rsidP="00BD1D44">
      <w:pPr>
        <w:ind w:firstLineChars="200" w:firstLine="420"/>
      </w:pPr>
      <w:r>
        <w:rPr>
          <w:rFonts w:hint="eastAsia"/>
        </w:rPr>
        <w:t>（三）切实服务经济发展</w:t>
      </w:r>
    </w:p>
    <w:p w:rsidR="00BD1D44" w:rsidRDefault="00BD1D44" w:rsidP="00BD1D44">
      <w:pPr>
        <w:ind w:firstLineChars="200" w:firstLine="420"/>
      </w:pPr>
      <w:r>
        <w:rPr>
          <w:rFonts w:hint="eastAsia"/>
        </w:rPr>
        <w:t>持续深化商事制度改革，巩固市场准入制度改革成果，协助制定奉化区地名地址全生命周期管理和服务标准化体系，做好民宿、餐饮等高频行业准入准营“一件事”改革，探索“互联网</w:t>
      </w:r>
      <w:r>
        <w:t>+</w:t>
      </w:r>
      <w:r>
        <w:t>核查</w:t>
      </w:r>
      <w:r>
        <w:t>”</w:t>
      </w:r>
      <w:r>
        <w:t>方式提高审批效能，推动市场主体管理服务重大应用省级试点落地。深入实施质量强区战略，贯彻落实我区第一次知识产权保护和发展大会精神，强化知识产权全链条保护，更好激发各类市场主体活力。</w:t>
      </w:r>
    </w:p>
    <w:p w:rsidR="00BD1D44" w:rsidRDefault="00BD1D44" w:rsidP="00BD1D44">
      <w:pPr>
        <w:ind w:firstLineChars="200" w:firstLine="420"/>
      </w:pPr>
      <w:r>
        <w:rPr>
          <w:rFonts w:hint="eastAsia"/>
        </w:rPr>
        <w:t>（四）深入挖掘创新亮点</w:t>
      </w:r>
    </w:p>
    <w:p w:rsidR="00BD1D44" w:rsidRDefault="00BD1D44" w:rsidP="00BD1D44">
      <w:pPr>
        <w:ind w:firstLineChars="200" w:firstLine="420"/>
      </w:pPr>
      <w:r>
        <w:rPr>
          <w:rFonts w:hint="eastAsia"/>
        </w:rPr>
        <w:t>主动接受上级的工作指导，积极向上汇报、沟通和对接，集聚智慧、汇聚资源，结合本部门本地区工作特点，分析新形势、新问题，学习新思路、新方法，结合典型案例、经验推广、打造品牌工作等，提高创新意识，寻找创新思路，总结创新经验，推进重点亮点项目应用走实走深。</w:t>
      </w:r>
    </w:p>
    <w:p w:rsidR="00BD1D44" w:rsidRDefault="00BD1D44" w:rsidP="00BD1D44">
      <w:pPr>
        <w:ind w:firstLineChars="200" w:firstLine="420"/>
      </w:pPr>
      <w:r>
        <w:rPr>
          <w:rFonts w:hint="eastAsia"/>
        </w:rPr>
        <w:t>（五）促进市场良性循环</w:t>
      </w:r>
    </w:p>
    <w:p w:rsidR="00BD1D44" w:rsidRDefault="00BD1D44" w:rsidP="00BD1D44">
      <w:pPr>
        <w:ind w:firstLineChars="200" w:firstLine="420"/>
      </w:pPr>
      <w:r>
        <w:rPr>
          <w:rFonts w:hint="eastAsia"/>
        </w:rPr>
        <w:t>聚焦公平竞争审查和商业秘密站点建设，建立公平竞争审查工作机制、组建公平竞争审查专家库，开展政策措施审查清理、市场主体反垄断合规辅导等，切实提高维护市场公平竞争能力，加快构建统一开放、竞争有序的市场发展环境，进一步营造市场化、法治化营商环境。紧盯新业态治理，深化网络直播营销违法行为专项治理，健全监测监管手段，实时跟踪动态主体库，提升违法线索获取能力，促进行业健康发展。</w:t>
      </w:r>
    </w:p>
    <w:p w:rsidR="00BD1D44" w:rsidRDefault="00BD1D44" w:rsidP="00BD1D44">
      <w:pPr>
        <w:ind w:firstLineChars="200" w:firstLine="420"/>
      </w:pPr>
      <w:r>
        <w:rPr>
          <w:rFonts w:hint="eastAsia"/>
        </w:rPr>
        <w:t>（六）提升队伍综合素质</w:t>
      </w:r>
    </w:p>
    <w:p w:rsidR="00BD1D44" w:rsidRDefault="00BD1D44" w:rsidP="00BD1D44">
      <w:pPr>
        <w:ind w:firstLineChars="200" w:firstLine="420"/>
      </w:pPr>
      <w:r>
        <w:rPr>
          <w:rFonts w:hint="eastAsia"/>
        </w:rPr>
        <w:t>压紧压实全面从严治党责任，持续推进党风廉政建设和反腐败斗争，深入推进清廉市监建设，夯实“一岗双责”，牢固树立全面从严治党主体责任意识。聚焦作风建设工作要求，不断加强基层组织和党员队伍建设，筑牢干部职工防腐倡廉思想防线。强化考核结果运用，激发干部职工干事热情，推动市场监管事业高质量发展。</w:t>
      </w:r>
    </w:p>
    <w:p w:rsidR="00BD1D44" w:rsidRDefault="00BD1D44" w:rsidP="00B5081F">
      <w:pPr>
        <w:jc w:val="right"/>
      </w:pPr>
      <w:r w:rsidRPr="00B5081F">
        <w:rPr>
          <w:rFonts w:hint="eastAsia"/>
        </w:rPr>
        <w:t>宁波市奉化区人民政府</w:t>
      </w:r>
      <w:r>
        <w:rPr>
          <w:rFonts w:hint="eastAsia"/>
        </w:rPr>
        <w:t>2023-2-20</w:t>
      </w:r>
    </w:p>
    <w:p w:rsidR="00BD1D44" w:rsidRDefault="00BD1D44" w:rsidP="000A752D">
      <w:pPr>
        <w:sectPr w:rsidR="00BD1D44" w:rsidSect="000A752D">
          <w:type w:val="continuous"/>
          <w:pgSz w:w="11906" w:h="16838"/>
          <w:pgMar w:top="1644" w:right="1236" w:bottom="1418" w:left="1814" w:header="851" w:footer="907" w:gutter="0"/>
          <w:pgNumType w:start="1"/>
          <w:cols w:space="720"/>
          <w:docGrid w:type="lines" w:linePitch="341" w:charSpace="2373"/>
        </w:sectPr>
      </w:pPr>
    </w:p>
    <w:p w:rsidR="00634D8A" w:rsidRDefault="00634D8A"/>
    <w:sectPr w:rsidR="00634D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1D44"/>
    <w:rsid w:val="00634D8A"/>
    <w:rsid w:val="00BD1D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1D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1D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543</Words>
  <Characters>3096</Characters>
  <Application>Microsoft Office Word</Application>
  <DocSecurity>0</DocSecurity>
  <Lines>25</Lines>
  <Paragraphs>7</Paragraphs>
  <ScaleCrop>false</ScaleCrop>
  <Company>Microsoft</Company>
  <LinksUpToDate>false</LinksUpToDate>
  <CharactersWithSpaces>3632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2023-02-25T05:21:00Z</dcterms:created>
</cp:coreProperties>
</file>