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07F1" w:rsidRDefault="00C707F1" w:rsidP="00F125C0">
      <w:pPr>
        <w:pStyle w:val="1"/>
      </w:pPr>
      <w:r w:rsidRPr="00F125C0">
        <w:rPr>
          <w:rFonts w:hint="eastAsia"/>
        </w:rPr>
        <w:t>中小企业如何抓住数字经济红利？</w:t>
      </w:r>
    </w:p>
    <w:p w:rsidR="00C707F1" w:rsidRDefault="00C707F1" w:rsidP="00C707F1">
      <w:pPr>
        <w:ind w:firstLineChars="200" w:firstLine="420"/>
      </w:pPr>
      <w:r>
        <w:rPr>
          <w:rFonts w:hint="eastAsia"/>
        </w:rPr>
        <w:t>当前，数字经济已成为继农业经济、工业经济之后的主要经济形态。数字经济发展速度之快、辐射范围之广、影响程度之深前所未有。中小企业如何抓住数字经济红利？在此过程中又面临哪些挑战？全国两会期间，多位全国人大代表、全国政协委员聚焦这个话题分享了自己的看法。</w:t>
      </w:r>
    </w:p>
    <w:p w:rsidR="00C707F1" w:rsidRDefault="00C707F1" w:rsidP="00C707F1">
      <w:pPr>
        <w:ind w:firstLineChars="200" w:firstLine="420"/>
      </w:pPr>
      <w:r>
        <w:rPr>
          <w:rFonts w:hint="eastAsia"/>
        </w:rPr>
        <w:t>充分释放数据要素价值</w:t>
      </w:r>
    </w:p>
    <w:p w:rsidR="00C707F1" w:rsidRDefault="00C707F1" w:rsidP="00C707F1">
      <w:pPr>
        <w:ind w:firstLineChars="200" w:firstLine="420"/>
      </w:pPr>
      <w:r>
        <w:rPr>
          <w:rFonts w:hint="eastAsia"/>
        </w:rPr>
        <w:t>数字经济时代，中小企业数字化转型的逐步深入，为增强产业链供应链韧性、推动中小企业高质量发展注入新动力。但是，并非所有的企业都能善用数据。</w:t>
      </w:r>
    </w:p>
    <w:p w:rsidR="00C707F1" w:rsidRDefault="00C707F1" w:rsidP="00C707F1">
      <w:pPr>
        <w:ind w:firstLineChars="200" w:firstLine="420"/>
      </w:pPr>
      <w:r>
        <w:rPr>
          <w:rFonts w:hint="eastAsia"/>
        </w:rPr>
        <w:t>全国政协委员，中国信息通信研究院院长、党委副书记余晓晖表示，非常关注如何加快数字经济和实体经济深度融合。在他看来，要从制度、市场、技术三方面协同发力，充分释放数据要素价值。具体来看，就是以数据“三权分置”的产权制度为突破口，加快推动数据基础制度的完善、细化和落地。以数据确权、定价、交易流通机制的建立完善，推动构建多层级数据要素市场。以打造可信任、可控制的数据流转环境</w:t>
      </w:r>
      <w:r>
        <w:t>(</w:t>
      </w:r>
      <w:r>
        <w:t>可信数据空间</w:t>
      </w:r>
      <w:r>
        <w:t>)</w:t>
      </w:r>
      <w:r>
        <w:t>为方向，探索形成体系化的技术安排。</w:t>
      </w:r>
    </w:p>
    <w:p w:rsidR="00C707F1" w:rsidRDefault="00C707F1" w:rsidP="00C707F1">
      <w:pPr>
        <w:ind w:firstLineChars="200" w:firstLine="420"/>
      </w:pPr>
      <w:r>
        <w:rPr>
          <w:rFonts w:hint="eastAsia"/>
        </w:rPr>
        <w:t>激活“沉睡”的数据要素，对于中小企业而言是一门“必修课”，但同时也是巨大挑战。全国政协委员、甘肃省工业和信息化厅副厅长黄宝荣对《金融时报》记者表示，数据作为新型生产要素，是数字化、网络化、智能化的基础，也是数字经济的核心关键要素。但目前绝大多数企业对数据资产的掌握程度仍旧停留在简单的数字化和数仓建设，手中的数据难以转化为数据资产，数字化转型也因此裹足不前，严重拖慢了全国统一的数据要素大市场的形成和工业互联网、云计算、人工智能的推进速度。</w:t>
      </w:r>
    </w:p>
    <w:p w:rsidR="00C707F1" w:rsidRDefault="00C707F1" w:rsidP="00C707F1">
      <w:pPr>
        <w:ind w:firstLineChars="200" w:firstLine="420"/>
      </w:pPr>
      <w:r>
        <w:rPr>
          <w:rFonts w:hint="eastAsia"/>
        </w:rPr>
        <w:t>对此，黄宝荣建议，要将数据管理标准化上升到法律层面。他认为，参照环境影响评价和节能评估审查立法体系，数据管理也应有上位法予以支撑，建议将数据管理要求纳入立法计划，明确企业数据管理的法定责任、执行标准和统计规范。“为数字经济快速发展提供法治保障成为当前数字经济发展特别是中小企业数字化转型亟须解决的关键环节。完善数据治理，提升数据质量，保障数据可用可管、完整准确和安全可信迫在眉睫。”黄宝荣表示。</w:t>
      </w:r>
    </w:p>
    <w:p w:rsidR="00C707F1" w:rsidRDefault="00C707F1" w:rsidP="00C707F1">
      <w:pPr>
        <w:ind w:firstLineChars="200" w:firstLine="420"/>
      </w:pPr>
      <w:r>
        <w:rPr>
          <w:rFonts w:hint="eastAsia"/>
        </w:rPr>
        <w:t>以数字金融赋能科技成果转化</w:t>
      </w:r>
    </w:p>
    <w:p w:rsidR="00C707F1" w:rsidRDefault="00C707F1" w:rsidP="00C707F1">
      <w:pPr>
        <w:ind w:firstLineChars="200" w:firstLine="420"/>
      </w:pPr>
      <w:r>
        <w:rPr>
          <w:rFonts w:hint="eastAsia"/>
        </w:rPr>
        <w:t>在金融领域，利用数字技术来破题中小企业融资困境也被寄予厚望。全国人大代表，郑州银行党委书记、董事长王天宇表示，商业银行、保险公司在风险可控、商业可持续的前提下，与创业投资机构等外部投资机构深化合作，积极探索多样化的科创金融服务模式。在这个过程中，他建议地方政府打破政府部门间的“数据孤岛”，为金融机构使用政务大数据、专利大数据及工商信息大数据识别科创企业风险创造有利条件。</w:t>
      </w:r>
    </w:p>
    <w:p w:rsidR="00C707F1" w:rsidRDefault="00C707F1" w:rsidP="00C707F1">
      <w:pPr>
        <w:ind w:firstLineChars="200" w:firstLine="420"/>
      </w:pPr>
      <w:r>
        <w:rPr>
          <w:rFonts w:hint="eastAsia"/>
        </w:rPr>
        <w:t>全国政协委员、山东大学齐鲁证券金融研究院院长陈增敬也表示，可以发挥数字金融促进科创型中小企业发展的作用，为科技成果转化落地保驾护航。记者了解到，他所带领的山东国家应用数学中心研究团队正在研究一款全新的科创企业信贷授信模型，创新将云服务使用量、智能化设备等数据认定为可抵押资产和研发投入，对其进行信贷等级评价，以此为依据提供解困资金、扶持资金和优惠贷款。</w:t>
      </w:r>
    </w:p>
    <w:p w:rsidR="00C707F1" w:rsidRDefault="00C707F1" w:rsidP="00C707F1">
      <w:pPr>
        <w:ind w:firstLineChars="200" w:firstLine="420"/>
      </w:pPr>
      <w:r>
        <w:rPr>
          <w:rFonts w:hint="eastAsia"/>
        </w:rPr>
        <w:t>陈增敬希望对于这样的研究给予更多的资金支持。“我建议在科技创新领域，适当增加政府引导基金的规模、数量与品种，并且对已发行的政府引导基金适当允许增加延长期的时间，通过引导基金鼓励全社会创新，鼓励企业创新。”陈增敬表示。</w:t>
      </w:r>
    </w:p>
    <w:p w:rsidR="00C707F1" w:rsidRDefault="00C707F1" w:rsidP="00F125C0">
      <w:pPr>
        <w:ind w:firstLine="420"/>
        <w:jc w:val="right"/>
      </w:pPr>
      <w:r w:rsidRPr="00F125C0">
        <w:rPr>
          <w:rFonts w:hint="eastAsia"/>
        </w:rPr>
        <w:t>金融时报</w:t>
      </w:r>
      <w:r>
        <w:rPr>
          <w:rFonts w:hint="eastAsia"/>
        </w:rPr>
        <w:t>2023-3-14</w:t>
      </w:r>
    </w:p>
    <w:p w:rsidR="00C707F1" w:rsidRDefault="00C707F1" w:rsidP="001F32A8">
      <w:pPr>
        <w:sectPr w:rsidR="00C707F1" w:rsidSect="001F32A8">
          <w:type w:val="continuous"/>
          <w:pgSz w:w="11906" w:h="16838"/>
          <w:pgMar w:top="1644" w:right="1236" w:bottom="1418" w:left="1814" w:header="851" w:footer="907" w:gutter="0"/>
          <w:pgNumType w:start="1"/>
          <w:cols w:space="720"/>
          <w:docGrid w:type="lines" w:linePitch="341" w:charSpace="2373"/>
        </w:sectPr>
      </w:pPr>
    </w:p>
    <w:p w:rsidR="0026302F" w:rsidRDefault="0026302F"/>
    <w:sectPr w:rsidR="002630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07F1"/>
    <w:rsid w:val="0026302F"/>
    <w:rsid w:val="00C707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07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07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1152</Characters>
  <Application>Microsoft Office Word</Application>
  <DocSecurity>0</DocSecurity>
  <Lines>9</Lines>
  <Paragraphs>2</Paragraphs>
  <ScaleCrop>false</ScaleCrop>
  <Company>Microsoft</Company>
  <LinksUpToDate>false</LinksUpToDate>
  <CharactersWithSpaces>1351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2023-03-18T06:38:00Z</dcterms:created>
</cp:coreProperties>
</file>