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2C7A" w:rsidRDefault="00F32C7A" w:rsidP="00EF0F8A">
      <w:pPr>
        <w:pStyle w:val="1"/>
      </w:pPr>
      <w:bookmarkStart w:id="0" w:name="_Toc128557000"/>
      <w:r w:rsidRPr="00EF0F8A">
        <w:rPr>
          <w:rFonts w:hint="eastAsia"/>
        </w:rPr>
        <w:t>推动大中小企业融通发展</w:t>
      </w:r>
      <w:bookmarkEnd w:id="0"/>
    </w:p>
    <w:p w:rsidR="00F32C7A" w:rsidRDefault="00F32C7A" w:rsidP="00F32C7A">
      <w:pPr>
        <w:ind w:firstLineChars="200" w:firstLine="420"/>
      </w:pPr>
      <w:r>
        <w:rPr>
          <w:rFonts w:hint="eastAsia"/>
        </w:rPr>
        <w:t>第五批专精特新“小巨人”企业培育工作日前启动。专精特新企业是中小企业的领头羊，是产业链、供应链的关键节点，是高质量发展的动力源。</w:t>
      </w:r>
    </w:p>
    <w:p w:rsidR="00F32C7A" w:rsidRDefault="00F32C7A" w:rsidP="00F32C7A">
      <w:pPr>
        <w:ind w:firstLineChars="200" w:firstLine="420"/>
      </w:pPr>
      <w:r>
        <w:rPr>
          <w:rFonts w:hint="eastAsia"/>
        </w:rPr>
        <w:t>中国国际经济交流中心近日发布的《行业领军企业促进专精特新企业高质量发展研究》指出，当前，多数专精特新企业尚不具备支撑高质量发展的人才、技术、资金等关键要素，推动行业领军企业促进专精特新企业高质量发展，有利于全面提升专精特新企业专业化能力和水平，提升产业链的韧性和竞争力；有利于推动制造业高端化、智能化、绿色化发展。</w:t>
      </w:r>
    </w:p>
    <w:p w:rsidR="00F32C7A" w:rsidRDefault="00F32C7A" w:rsidP="00F32C7A">
      <w:pPr>
        <w:ind w:firstLineChars="200" w:firstLine="420"/>
      </w:pPr>
      <w:r>
        <w:rPr>
          <w:rFonts w:hint="eastAsia"/>
        </w:rPr>
        <w:t>近年来，我国中小企业发展取得显著成效，已累计培育</w:t>
      </w:r>
      <w:r>
        <w:t>8997</w:t>
      </w:r>
      <w:r>
        <w:t>家专精特新</w:t>
      </w:r>
      <w:r>
        <w:t>“</w:t>
      </w:r>
      <w:r>
        <w:t>小巨人</w:t>
      </w:r>
      <w:r>
        <w:t>”</w:t>
      </w:r>
      <w:r>
        <w:t>企业、</w:t>
      </w:r>
      <w:r>
        <w:t>6</w:t>
      </w:r>
      <w:r>
        <w:t>万多家专精特新中小企业。工业和信息化部负责人此前表示，力争到</w:t>
      </w:r>
      <w:r>
        <w:t>2023</w:t>
      </w:r>
      <w:r>
        <w:t>年底，全国专精特新中小企业超过</w:t>
      </w:r>
      <w:r>
        <w:t>8</w:t>
      </w:r>
      <w:r>
        <w:t>万家、</w:t>
      </w:r>
      <w:r>
        <w:t>“</w:t>
      </w:r>
      <w:r>
        <w:t>小巨人</w:t>
      </w:r>
      <w:r>
        <w:t>”</w:t>
      </w:r>
      <w:r>
        <w:t>企业超过</w:t>
      </w:r>
      <w:r>
        <w:t>1</w:t>
      </w:r>
      <w:r>
        <w:t>万家。</w:t>
      </w:r>
    </w:p>
    <w:p w:rsidR="00F32C7A" w:rsidRDefault="00F32C7A" w:rsidP="00F32C7A">
      <w:pPr>
        <w:ind w:firstLineChars="200" w:firstLine="420"/>
      </w:pPr>
      <w:r>
        <w:rPr>
          <w:rFonts w:hint="eastAsia"/>
        </w:rPr>
        <w:t>“建设现代化产业体系、强化企业科技创新主体地位、推进中国式现代化，都需要有更多的专精特新企业。”中国国际经济交流中心常务副理事长张晓强认为，促进专精特新企业高质量发展，需要发挥行业领军企业的引领带动作用，向专精特新企业开放资源、共享能力、提供服务，以技术、要素和经验对专精特新企业进行赋能。同时，还要发挥好政府作用，推动行业领军企业和专精特新企业形成互动发展格局。</w:t>
      </w:r>
    </w:p>
    <w:p w:rsidR="00F32C7A" w:rsidRDefault="00F32C7A" w:rsidP="00F32C7A">
      <w:pPr>
        <w:ind w:firstLineChars="200" w:firstLine="420"/>
      </w:pPr>
      <w:r>
        <w:rPr>
          <w:rFonts w:hint="eastAsia"/>
        </w:rPr>
        <w:t>中国国际经济交流中心创新发展研究部部长李锋表示，超过</w:t>
      </w:r>
      <w:r>
        <w:t>80%</w:t>
      </w:r>
      <w:r>
        <w:t>的专精特新</w:t>
      </w:r>
      <w:r>
        <w:t>“</w:t>
      </w:r>
      <w:r>
        <w:t>小巨人</w:t>
      </w:r>
      <w:r>
        <w:t>”</w:t>
      </w:r>
      <w:r>
        <w:t>企业属于战略性新兴产业及相关服务业，很多企业生产的产品在关键领域发挥着</w:t>
      </w:r>
      <w:r>
        <w:t>“</w:t>
      </w:r>
      <w:r>
        <w:t>补短板</w:t>
      </w:r>
      <w:r>
        <w:t>”“</w:t>
      </w:r>
      <w:r>
        <w:t>填空白</w:t>
      </w:r>
      <w:r>
        <w:t>”</w:t>
      </w:r>
      <w:r>
        <w:t>的作用，成为保障我国产业链供应链稳定的重要支撑。但从调研来看，不少专精特新企业在人才、技术、资金等关键要素上仍存在短板，数字化转型存在</w:t>
      </w:r>
      <w:r>
        <w:t>“</w:t>
      </w:r>
      <w:r>
        <w:t>不敢转、不会转、不能转</w:t>
      </w:r>
      <w:r>
        <w:t>”</w:t>
      </w:r>
      <w:r>
        <w:t>的情况。</w:t>
      </w:r>
    </w:p>
    <w:p w:rsidR="00F32C7A" w:rsidRDefault="00F32C7A" w:rsidP="00F32C7A">
      <w:pPr>
        <w:ind w:firstLineChars="200" w:firstLine="420"/>
      </w:pPr>
      <w:r>
        <w:rPr>
          <w:rFonts w:hint="eastAsia"/>
        </w:rPr>
        <w:t>报告认为，作为产业链的头部企业，行业领军企业拥有资源、管理、技术等优势，具备较强的产业链整合能力，在助力专精特新企业实现高质量发展过程中，能发挥出“头雁”带动作用。通过大中小企业融通发展，专精特新企业可获得行业领军企业的资源、资金、人才、技术等多方面支持，扩大市场规模，实现技术突破，提高自身竞争力和抗风险能力。行业领军企业也能在促进专精特新企业发展过程中，优化自身发展方向，完善企业生态，巩固供应链。同时，通过行业领军企业和专精特新企业协同创新、共同发展，能够完善行业发展生态，促进行业高质量发展。</w:t>
      </w:r>
    </w:p>
    <w:p w:rsidR="00F32C7A" w:rsidRDefault="00F32C7A" w:rsidP="00F32C7A">
      <w:pPr>
        <w:ind w:firstLineChars="200" w:firstLine="420"/>
      </w:pPr>
      <w:r>
        <w:rPr>
          <w:rFonts w:hint="eastAsia"/>
        </w:rPr>
        <w:t>报告以案例的形式介绍了联想、腾讯、阿里、华为、中国电科、国家电投等行业领军企业支持专精特新企业发展的模式和探索。例如，联想集团通过布局产业链、构建多赢联动生态、扩大产业协同优势等方式，全生命周期赋能专精特新企业。在战略投资方面，腾讯共投资了</w:t>
      </w:r>
      <w:r>
        <w:t>51</w:t>
      </w:r>
      <w:r>
        <w:t>家国家级、省级专精特新中小企业。调查显示，在行业领军企业的助力下，专精特新</w:t>
      </w:r>
      <w:r>
        <w:t>“</w:t>
      </w:r>
      <w:r>
        <w:t>小巨人</w:t>
      </w:r>
      <w:r>
        <w:t>”</w:t>
      </w:r>
      <w:r>
        <w:t>企业普遍与大企业建立了良好的合作关系，当前九成专精特新</w:t>
      </w:r>
      <w:r>
        <w:t>“</w:t>
      </w:r>
      <w:r>
        <w:t>小巨人</w:t>
      </w:r>
      <w:r>
        <w:t>”</w:t>
      </w:r>
      <w:r>
        <w:t>企业至少为一家国内外知名大企业直接配套。</w:t>
      </w:r>
    </w:p>
    <w:p w:rsidR="00F32C7A" w:rsidRDefault="00F32C7A" w:rsidP="00F32C7A">
      <w:pPr>
        <w:ind w:firstLineChars="200" w:firstLine="420"/>
      </w:pPr>
      <w:r>
        <w:rPr>
          <w:rFonts w:hint="eastAsia"/>
        </w:rPr>
        <w:t>中小企业协会会长李子彬强调，专精特新企业在突破关键核心技术被“卡脖子”方面发挥重要作用，当前发展专精特新企业不仅必要，而且十分紧迫。未来需要政府、协会和行业领军企业等形成合力，从金融、税收、社保、人才等多个方面支持专精特新企业发展。</w:t>
      </w:r>
    </w:p>
    <w:p w:rsidR="00F32C7A" w:rsidRDefault="00F32C7A" w:rsidP="00F32C7A">
      <w:pPr>
        <w:ind w:firstLineChars="200" w:firstLine="420"/>
      </w:pPr>
      <w:r>
        <w:rPr>
          <w:rFonts w:hint="eastAsia"/>
        </w:rPr>
        <w:t>“行业领军企业赋能专精特新企业非常重要，为企业成长提供了巨大助力。”银环集团董事长庄建新建议，政府要加大支持专精特新企业自主创新的力度，优先购买自主研发的产品，加强知识产权保护，增强专精特新企业创新动力。</w:t>
      </w:r>
    </w:p>
    <w:p w:rsidR="00F32C7A" w:rsidRDefault="00F32C7A" w:rsidP="00F32C7A">
      <w:pPr>
        <w:ind w:firstLineChars="200" w:firstLine="420"/>
      </w:pPr>
      <w:r>
        <w:rPr>
          <w:rFonts w:hint="eastAsia"/>
        </w:rPr>
        <w:t>立讯精密副总经理黄威认为，与领军企业的合作能够实现技术体系的重大突破，加速技术到商业转化的步伐。建议未来要针对全产业链、全场景，对“卡脖子”技术做深度拆解，提升政策的精准性。</w:t>
      </w:r>
    </w:p>
    <w:p w:rsidR="00F32C7A" w:rsidRDefault="00F32C7A" w:rsidP="00F32C7A">
      <w:pPr>
        <w:ind w:firstLineChars="200" w:firstLine="420"/>
      </w:pPr>
      <w:r>
        <w:rPr>
          <w:rFonts w:hint="eastAsia"/>
        </w:rPr>
        <w:t>专家表示，目前支持专精特新企业的政策体系还有待进一步完善，建议可探索构建“</w:t>
      </w:r>
      <w:r>
        <w:t>1+1+1+N”</w:t>
      </w:r>
      <w:r>
        <w:t>（政府</w:t>
      </w:r>
      <w:r>
        <w:t>+</w:t>
      </w:r>
      <w:r>
        <w:t>协会</w:t>
      </w:r>
      <w:r>
        <w:t>+</w:t>
      </w:r>
      <w:r>
        <w:t>行业领军企业</w:t>
      </w:r>
      <w:r>
        <w:t>+</w:t>
      </w:r>
      <w:r>
        <w:t>专精特新企业）协同发展模式，更好发挥行业领军企业在促进专精特新企业发展中的带动作用和赋能作用，推动政府支持政策真正落地，提升政府支持的实效性，搭建起覆盖面广、下沉度深的赋能体系，携手推动专精特新企业实现高质量发展。</w:t>
      </w:r>
    </w:p>
    <w:p w:rsidR="00F32C7A" w:rsidRDefault="00F32C7A" w:rsidP="00EF0F8A">
      <w:pPr>
        <w:ind w:firstLine="420"/>
        <w:jc w:val="right"/>
      </w:pPr>
      <w:r w:rsidRPr="00EF0F8A">
        <w:rPr>
          <w:rFonts w:hint="eastAsia"/>
        </w:rPr>
        <w:t>经济日报</w:t>
      </w:r>
      <w:r>
        <w:rPr>
          <w:rFonts w:hint="eastAsia"/>
        </w:rPr>
        <w:t>2023-2-28</w:t>
      </w:r>
    </w:p>
    <w:p w:rsidR="00F32C7A" w:rsidRDefault="00F32C7A" w:rsidP="008615DF">
      <w:pPr>
        <w:sectPr w:rsidR="00F32C7A"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6F191E" w:rsidRDefault="006F191E"/>
    <w:sectPr w:rsidR="006F19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2FC3" w:rsidRDefault="006F191E">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2FC3" w:rsidRDefault="006F191E">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2FC3" w:rsidRDefault="006F191E">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2FC3" w:rsidRDefault="006F191E">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2C7A"/>
    <w:rsid w:val="006F191E"/>
    <w:rsid w:val="00F32C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2C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2C7A"/>
    <w:rPr>
      <w:rFonts w:ascii="黑体" w:eastAsia="黑体" w:hAnsi="宋体" w:cs="Times New Roman"/>
      <w:b/>
      <w:kern w:val="36"/>
      <w:sz w:val="32"/>
      <w:szCs w:val="32"/>
    </w:rPr>
  </w:style>
  <w:style w:type="paragraph" w:styleId="a3">
    <w:name w:val="header"/>
    <w:basedOn w:val="a"/>
    <w:link w:val="Char"/>
    <w:rsid w:val="00F32C7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32C7A"/>
    <w:rPr>
      <w:rFonts w:ascii="宋体" w:eastAsia="宋体" w:hAnsi="宋体" w:cs="Times New Roman"/>
      <w:b/>
      <w:bCs/>
      <w:i/>
      <w:kern w:val="36"/>
      <w:sz w:val="24"/>
      <w:szCs w:val="18"/>
    </w:rPr>
  </w:style>
  <w:style w:type="paragraph" w:styleId="a4">
    <w:name w:val="footer"/>
    <w:basedOn w:val="a"/>
    <w:link w:val="Char0"/>
    <w:rsid w:val="00F32C7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32C7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1408</Characters>
  <Application>Microsoft Office Word</Application>
  <DocSecurity>0</DocSecurity>
  <Lines>11</Lines>
  <Paragraphs>3</Paragraphs>
  <ScaleCrop>false</ScaleCrop>
  <Company>Microsoft</Company>
  <LinksUpToDate>false</LinksUpToDate>
  <CharactersWithSpaces>1652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2023-03-01T01:56:00Z</dcterms:created>
</cp:coreProperties>
</file>