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A87" w:rsidRDefault="009F0A87" w:rsidP="00115D9E">
      <w:pPr>
        <w:pStyle w:val="1"/>
      </w:pPr>
      <w:r w:rsidRPr="00115D9E">
        <w:rPr>
          <w:rFonts w:hint="eastAsia"/>
        </w:rPr>
        <w:t>铜仁市市场监管局：“五个持续发力”做好</w:t>
      </w:r>
      <w:r w:rsidRPr="00115D9E">
        <w:t>2023年市场监管重点工作</w:t>
      </w:r>
    </w:p>
    <w:p w:rsidR="009F0A87" w:rsidRDefault="009F0A87" w:rsidP="009F0A87">
      <w:pPr>
        <w:ind w:firstLineChars="200" w:firstLine="420"/>
      </w:pPr>
      <w:r>
        <w:t>3</w:t>
      </w:r>
      <w:r>
        <w:t>月</w:t>
      </w:r>
      <w:r>
        <w:t>6</w:t>
      </w:r>
      <w:r>
        <w:t>日，笔者从全市</w:t>
      </w:r>
      <w:r>
        <w:t>2023</w:t>
      </w:r>
      <w:r>
        <w:t>年市场监管暨知识产权工作会议上获悉，</w:t>
      </w:r>
      <w:r>
        <w:t>2023</w:t>
      </w:r>
      <w:r>
        <w:t>年，铜仁市市场监管局将紧紧围绕奋力开创绿色铜仁现代化建设新未来，在激活力、提质量、保安全、护公平、强队伍上持续发力，立足</w:t>
      </w:r>
      <w:r>
        <w:t>“</w:t>
      </w:r>
      <w:r>
        <w:t>提振经济</w:t>
      </w:r>
      <w:r>
        <w:t>”</w:t>
      </w:r>
      <w:r>
        <w:t>核心目标，凝心聚力、提振士气，为全市市场监管重点工作谋好篇、开好头、起好步。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在培育壮大市场主体夯实经济发展根基上持续发力。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持续深化商事制度改革。深化“证照分离”改革，加大“照后减证”和简化审批力度，做好电子营业执照的深度推广试点工作，不断提升企业登记服务水平，围绕“三减一降二提高”</w:t>
      </w:r>
      <w:r>
        <w:t>(</w:t>
      </w:r>
      <w:r>
        <w:t>减环节、减时间、减材料、降成本、提高便利度、提高满意率</w:t>
      </w:r>
      <w:r>
        <w:t>)</w:t>
      </w:r>
      <w:r>
        <w:t>，持续优化营商环境，力争企业开办营商环境指标成绩走在全省前列。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持续加大对市场主体的帮扶。扎实开展“小个专”党建工作和“个转企”工作，持续开展个体工商户服务月活动，大力宣贯《促进个体工商户发展条例》，帮助“小个专”纾困解难。聚焦“六大主导产业”发展，结合职能职责，积极培育壮大我市天麻、铁皮石斛等食药同源物质食品产业和酱香白酒产业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持续开展涉企收费专项治理。以行政审批中介服务、交通物流、行业协会商会收费为重点开展涉企收费专项整治，解决企业反映强烈的痛点堵点问题。适时组织开展供水供电供气、商业银行收费检查“回头看”，推动减轻企业负担、优化营商环境等政策落实，更好服务实体经济高质量发展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在服务六大主导产业助推高质量发展上持续发力。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强化质量基础支撑。全面推进质量基础设施“一站式”服务，支持企业全过程全生命周期的质量服务需求，积极争取质量强国建设国务院督查激励。加强全市社会公用计量标准建设，实现</w:t>
      </w:r>
      <w:r>
        <w:t>2023</w:t>
      </w:r>
      <w:r>
        <w:t>年市级新增社会公用计量标准不少于</w:t>
      </w:r>
      <w:r>
        <w:t>5</w:t>
      </w:r>
      <w:r>
        <w:t>项。突出标准化示范引领，持续开展标准制修订，助推我市特色产业发展。加大标准化试点示范建设，积极指导玉屏县开展第十一批国家级农业标准化示范区创建，将石阡县打造全省首个市级全域标准化示范县。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扎实开展质量提升行动。指导企业采用先进质量管理方法，积极组织中伟新材料股份有限公司做好中国质量奖申报，以点带面推动区域质量发展整体提升。持续开展首席质量官制度应用推广，组织开展好“全国质量月”等质量主题宣传。深入开展质量服务中小企业行动，小微企业质量管理的体系认证提升行动和绿色产品的认证活动，助推小微企业提质升级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强化知识产权创造、运用和保护。全力做好知识产权运用项目申报，组织全市</w:t>
      </w:r>
      <w:r>
        <w:t>2</w:t>
      </w:r>
      <w:r>
        <w:t>家以上企业参与贵州省高价值核心专利遴选，</w:t>
      </w:r>
      <w:r>
        <w:t>1</w:t>
      </w:r>
      <w:r>
        <w:t>家以上申报贵州省地理标志产品产业化促进项目；促进知识产权转移转化，深化知识产权质押融资；实施高价值发明专利培育工程，争取</w:t>
      </w:r>
      <w:r>
        <w:t>2023</w:t>
      </w:r>
      <w:r>
        <w:t>年铜仁市高价值发明专利增速达到</w:t>
      </w:r>
      <w:r>
        <w:t>10%</w:t>
      </w:r>
      <w:r>
        <w:t>；开展好</w:t>
      </w:r>
      <w:r>
        <w:t>“</w:t>
      </w:r>
      <w:r>
        <w:t>知识产权服务万里行</w:t>
      </w:r>
      <w:r>
        <w:t>”</w:t>
      </w:r>
      <w:r>
        <w:t>活动和知识产权代理行业</w:t>
      </w:r>
      <w:r>
        <w:t>“</w:t>
      </w:r>
      <w:r>
        <w:t>蓝天</w:t>
      </w:r>
      <w:r>
        <w:t>”</w:t>
      </w:r>
      <w:r>
        <w:t>专项整治行动。强化知识产权保护，开展驰名商标、老字号商标、涉外商标、专利、地理标志等知识产权综合保护，严厉打击知识产权侵权假冒行为；加强知识产权海外维权和电商知识产权保护，规制</w:t>
      </w:r>
      <w:r>
        <w:rPr>
          <w:rFonts w:hint="eastAsia"/>
        </w:rPr>
        <w:t>惩戒商标囤积、恶意注册行为，对非正常专利进行全面清理，助推“黔货出山”。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在守牢“三品一特”安全底线构筑“平安铜仁”上持续发力。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牢牢守住食品安全底线。落实“四个最严”要求，全力推动“两个责任”落地落实，加快实现“三张清单</w:t>
      </w:r>
      <w:r>
        <w:t>+</w:t>
      </w:r>
      <w:r>
        <w:t>一项承诺书</w:t>
      </w:r>
      <w:r>
        <w:t>”</w:t>
      </w:r>
      <w:r>
        <w:t>全覆盖。强化食品生产、流通、餐饮全过程监管，深入开展食盐质量安全、包装饮用水质量提升、农村假冒伪劣食品整治、校园食品安全守护行动、白酒专项整治、冷冻肉专项检查等行动，加快推进</w:t>
      </w:r>
      <w:r>
        <w:t>“</w:t>
      </w:r>
      <w:r>
        <w:t>明厨亮灶</w:t>
      </w:r>
      <w:r>
        <w:t>”</w:t>
      </w:r>
      <w:r>
        <w:t>建设，强化</w:t>
      </w:r>
      <w:r>
        <w:t>“</w:t>
      </w:r>
      <w:r>
        <w:t>互联网</w:t>
      </w:r>
      <w:r>
        <w:t>+</w:t>
      </w:r>
      <w:r>
        <w:t>明厨亮灶</w:t>
      </w:r>
      <w:r>
        <w:t>”</w:t>
      </w:r>
      <w:r>
        <w:t>智能分析预警一体化平台推广运用，组织食盐定点批发企业开展</w:t>
      </w:r>
      <w:r>
        <w:t>2023</w:t>
      </w:r>
      <w:r>
        <w:t>年度评定或复评，完成食品及食用农产品抽检</w:t>
      </w:r>
      <w:r>
        <w:t>3</w:t>
      </w:r>
      <w:r>
        <w:t>批次</w:t>
      </w:r>
      <w:r>
        <w:t>/</w:t>
      </w:r>
      <w:r>
        <w:t>千人指标，扎实开展</w:t>
      </w:r>
      <w:r>
        <w:t>“</w:t>
      </w:r>
      <w:r>
        <w:t>食品安全宣传周</w:t>
      </w:r>
      <w:r>
        <w:t>”“</w:t>
      </w:r>
      <w:r>
        <w:t>厉行节约坚决制止餐饮浪费</w:t>
      </w:r>
      <w:r>
        <w:t>”“</w:t>
      </w:r>
      <w:r>
        <w:t>你点我检你送</w:t>
      </w:r>
      <w:r>
        <w:rPr>
          <w:rFonts w:hint="eastAsia"/>
        </w:rPr>
        <w:t>我检”等系列宣传活动，营造食品安全社会共治良好氛围。</w:t>
      </w:r>
      <w:r>
        <w:t>2023</w:t>
      </w:r>
      <w:r>
        <w:t>年食品安全管理人员监督抽考企业覆盖率、校园及周边食品经营单位风险分级率、食盐定点批发企业监督检查及动态风险确定率、不合格</w:t>
      </w:r>
      <w:r>
        <w:t>(</w:t>
      </w:r>
      <w:r>
        <w:t>问题</w:t>
      </w:r>
      <w:r>
        <w:t>)</w:t>
      </w:r>
      <w:r>
        <w:t>食品核查处置完成率均达</w:t>
      </w:r>
      <w:r>
        <w:t>100%</w:t>
      </w:r>
      <w:r>
        <w:t>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牢牢守住药品安全底线。强化疫情防控药品器械质量监管，以解热镇痛药、抗病毒药品、小分子药物、医用防护口罩</w:t>
      </w:r>
      <w:r>
        <w:t>(N95</w:t>
      </w:r>
      <w:r>
        <w:t>或</w:t>
      </w:r>
      <w:r>
        <w:t>KN95)</w:t>
      </w:r>
      <w:r>
        <w:t>、医用外科口罩、体温计、血氧仪、制氧机经营使用及新冠肺炎核酸检测试剂等为重点，开展专项检查，消除安全隐患。强化</w:t>
      </w:r>
      <w:r>
        <w:t>“</w:t>
      </w:r>
      <w:r>
        <w:t>两品一械</w:t>
      </w:r>
      <w:r>
        <w:t>”</w:t>
      </w:r>
      <w:r>
        <w:t>流通使用环节监管，开展精麻药品和含特殊药品复方制剂、疫苗、无菌和植入性医疗器械、化妆品等专项检查。强化化妆品备案企业监督管理，认真开展备案后现场核查工作，确保覆盖率达</w:t>
      </w:r>
      <w:r>
        <w:t>100%</w:t>
      </w:r>
      <w:r>
        <w:t>。加强重点领域重点品种抽样检查，完成省级</w:t>
      </w:r>
      <w:r>
        <w:t>615</w:t>
      </w:r>
      <w:r>
        <w:t>批次药品抽检任务，</w:t>
      </w:r>
      <w:r>
        <w:t>47</w:t>
      </w:r>
      <w:r>
        <w:t>批次医疗器械抽检任务，</w:t>
      </w:r>
      <w:r>
        <w:t>75</w:t>
      </w:r>
      <w:r>
        <w:rPr>
          <w:rFonts w:hint="eastAsia"/>
        </w:rPr>
        <w:t>批次化妆品抽检任务。强化“两品一械”安全性监测，进一步推进监测工作规范化、制度化建设，持续开展“药品安全宣传月”“医疗器械安全宣传周”“化妆品科普宣传周”等宣传活动，提高公众用药用械安全意识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牢牢守住产品质量安全底线。完善产品质量安全风险预警机制，围绕危险化学品、燃气具、烟花爆竹、电动自行车充电器和电池等重点产品，开展风险隐患排查治理，科学精准实施监督抽查，完善监督抽查后处理工作机制。完善工业产品生产许可证事中事后分级分类监管体系，着力开展危险化学品安全风险集中治理、产品质量安全监管“护农”行动、“一老一小”等重要消费品质量安全守护行动；聚焦重点帮扶领域、重点行业开展质量会诊，实施“一企一策”“一品一策”等精准帮扶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牢牢守住特种设备安全底线。深入开展特种设备安全专项整治和隐患排查治理，确保全年检查特种设备生产、经营、使用、检验检测单位不少于</w:t>
      </w:r>
      <w:r>
        <w:t>800</w:t>
      </w:r>
      <w:r>
        <w:t>家，抽查在用设备不少于</w:t>
      </w:r>
      <w:r>
        <w:t>2800</w:t>
      </w:r>
      <w:r>
        <w:t>台</w:t>
      </w:r>
      <w:r>
        <w:t>(</w:t>
      </w:r>
      <w:r>
        <w:t>套、条</w:t>
      </w:r>
      <w:r>
        <w:t>)</w:t>
      </w:r>
      <w:r>
        <w:t>，隐患设备率不高于</w:t>
      </w:r>
      <w:r>
        <w:t>4%</w:t>
      </w:r>
      <w:r>
        <w:t>。认真做好全市重大活动、重要时段特种设备安全服务保障，加大公众聚集场所特种设备监督检查力度；加强应急管理知识培训教育，提升应急能力，在用电梯进入救援平台数不低于</w:t>
      </w:r>
      <w:r>
        <w:t>98%</w:t>
      </w:r>
      <w:r>
        <w:t>；推动智慧管理平台建设，全面推进安全监察掌上特设</w:t>
      </w:r>
      <w:r>
        <w:t>APP</w:t>
      </w:r>
      <w:r>
        <w:t>运用，加快推进电梯、气瓶质量安全追溯体系全面应用；积极探索电梯全生命周期</w:t>
      </w:r>
      <w:r>
        <w:t>“</w:t>
      </w:r>
      <w:r>
        <w:t>健康保险</w:t>
      </w:r>
      <w:r>
        <w:t>”</w:t>
      </w:r>
      <w:r>
        <w:t>等电梯安全保</w:t>
      </w:r>
      <w:r>
        <w:rPr>
          <w:rFonts w:hint="eastAsia"/>
        </w:rPr>
        <w:t>险模式，推动从“降低事故率”向“降低故障率”转变；持续开展“安全生产月”和安全生产宣传“五进”活动，压紧压实安全生产主体责任，全面提升安全水平，更好保障全市人民群众生命财产安全。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在强化监管执法维护公平竞争市场秩序上持续发力。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深入构建公平竞争市场秩序。统筹做好现行政策措施、政策文件的审查和清理，推进公平竞争审查制度落实落地；紧盯涉疫药品、医疗用品、民生商品等重要产品和教育、粮食市场、殡葬、物业、大型商超、交通客运、旅游景区等重要行业领域，持续做好价格监管。深入推进规范直销、打击传销，积极构建打击传销部门执法协作机制，会同公安机关研究网络传销和聚集式传销治理措施，做好对传销遣散人员的教育管控；加强对新批准直销企业、拟扩区直销企业以及直销案件、举报投诉较多的直销企业的监管。聚焦医疗、药品、保健品、金融理财等民生关切的重点领域，强化广告监测监管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深入构建市场主体信用监管机制。积极推进信用承诺、探索信用合规建设、优化信用修复服务、推行包容审慎的信用监管等机制，营造宽松规范的经营环境；强化涉企信息归集，严格执行“双公示”制度，确保</w:t>
      </w:r>
      <w:r>
        <w:t>2023</w:t>
      </w:r>
      <w:r>
        <w:t>年行政处罚案件公示率达</w:t>
      </w:r>
      <w:r>
        <w:t>100%</w:t>
      </w:r>
      <w:r>
        <w:t>；强化</w:t>
      </w:r>
      <w:r>
        <w:t>“</w:t>
      </w:r>
      <w:r>
        <w:t>双随机、一公开</w:t>
      </w:r>
      <w:r>
        <w:t>”</w:t>
      </w:r>
      <w:r>
        <w:t>监管，及时调整</w:t>
      </w:r>
      <w:r>
        <w:t>“</w:t>
      </w:r>
      <w:r>
        <w:t>一单两库</w:t>
      </w:r>
      <w:r>
        <w:t>”</w:t>
      </w:r>
      <w:r>
        <w:t>，推进信用风险分类监管，对低风险市场主体实现</w:t>
      </w:r>
      <w:r>
        <w:t>“</w:t>
      </w:r>
      <w:r>
        <w:t>无事不扰</w:t>
      </w:r>
      <w:r>
        <w:t>”</w:t>
      </w:r>
      <w:r>
        <w:t>，对高风险市场主体做到</w:t>
      </w:r>
      <w:r>
        <w:t>“</w:t>
      </w:r>
      <w:r>
        <w:t>无处不在</w:t>
      </w:r>
      <w:r>
        <w:t>”</w:t>
      </w:r>
      <w:r>
        <w:t>，确保全年抽查企业比例不低于全市存续企业数的</w:t>
      </w:r>
      <w:r>
        <w:t>3%</w:t>
      </w:r>
      <w:r>
        <w:t>；全力推进</w:t>
      </w:r>
      <w:r>
        <w:t>“</w:t>
      </w:r>
      <w:r>
        <w:t>企业强制注销</w:t>
      </w:r>
      <w:r>
        <w:t>”</w:t>
      </w:r>
      <w:r>
        <w:t>国家级试点工作，在去年试点工作的基础之上完善工作制度，形成可复制可推广的经验</w:t>
      </w:r>
      <w:r>
        <w:rPr>
          <w:rFonts w:hint="eastAsia"/>
        </w:rPr>
        <w:t>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深入构建放心消费环境。思考谋划好</w:t>
      </w:r>
      <w:r>
        <w:t>2023</w:t>
      </w:r>
      <w:r>
        <w:t>年消费维权工作，扫除消费道路上的各种障碍，让全市人民愿消费、敢消费，切实享受到消费市场高质量发展的成果。结合铜仁旅游产业化的发展，加大消费维权保护。以</w:t>
      </w:r>
      <w:r>
        <w:t>12315</w:t>
      </w:r>
      <w:r>
        <w:t>平台为抓手，及时处理消费者投诉举报，确保投诉举报登记受理率达</w:t>
      </w:r>
      <w:r>
        <w:t>100%</w:t>
      </w:r>
      <w:r>
        <w:t>，到期办结率达</w:t>
      </w:r>
      <w:r>
        <w:t>100%</w:t>
      </w:r>
      <w:r>
        <w:t>。大力发展</w:t>
      </w:r>
      <w:r>
        <w:t>ODR</w:t>
      </w:r>
      <w:r>
        <w:t>企业，切实增强企业解决消费纠纷的能力，努力把消费纠纷化解在源头、解决在基层、和解在企业，构建消费纠纷多元化解机制。要持续做好放心消费创建活动。结合铜仁实际进一步加强网络交易市场监管，摸清辖区内如</w:t>
      </w:r>
      <w:r>
        <w:t>“</w:t>
      </w:r>
      <w:r>
        <w:t>梵净直播</w:t>
      </w:r>
      <w:r>
        <w:t>”</w:t>
      </w:r>
      <w:r>
        <w:rPr>
          <w:rFonts w:hint="eastAsia"/>
        </w:rPr>
        <w:t>“开心外婆”“古村乐乐”等网络直播平台、直播基地和通过网络直播销售商品或提供服务的市场主体底数，加强线上线下一体化监管服务，促进全市网络直播等新业态规范健康发展。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在强化党建引领建强铜仁市场监管队伍上持续发力。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全面推进“五讲五型”模范机关创建。全系统要牢固树立政治机关意识，全面贯彻新时代党的建设总要求，把党的领导贯穿于市场监管各项工作始终。擦亮“政治机关市场卫士”党建品牌，全面开展“五讲五型”</w:t>
      </w:r>
      <w:r>
        <w:t>(</w:t>
      </w:r>
      <w:r>
        <w:t>讲政治、打造学习型机关；讲担当，打造服务型机关；讲实干，打造创新型机关；讲团结，打造和谐型机关；讲纪律，打造廉政型机关</w:t>
      </w:r>
      <w:r>
        <w:t>)</w:t>
      </w:r>
      <w:r>
        <w:t>模范机关创建活动，在围绕</w:t>
      </w:r>
      <w:r>
        <w:t>“</w:t>
      </w:r>
      <w:r>
        <w:t>四新</w:t>
      </w:r>
      <w:r>
        <w:t>”</w:t>
      </w:r>
      <w:r>
        <w:t>主攻</w:t>
      </w:r>
      <w:r>
        <w:t>“</w:t>
      </w:r>
      <w:r>
        <w:t>四化</w:t>
      </w:r>
      <w:r>
        <w:t>”</w:t>
      </w:r>
      <w:r>
        <w:t>服务高质量发展上、在推动全国文明城市创建中、在服务乡村振兴的田间地头，淬炼忠诚干净担当的政治品格，充分发挥市场监管职能作用，贡献市场监管的智慧和力量。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全面加强人才队伍建设。坚持把法治建设作为市场监管部门一项根本性、全局性、系统性、基础性工作，建立完善行政执法制度机制；全面落实行政执法“三项制度”，切实加强行政执法监督，做到日常监督与专项监督、事前监督与事中事后监督有机结合，通过专项执法检查、案卷评查等方式，及时发现和纠正行政执法违法行为，进一步规范和监督行政处罚的正确实施，完成制式服装和标志配发。根据业务的需求、基层的实际，提高干部教育培训的统筹性、精准性和实效性，围绕法治监管、信用监管、智慧监管等方面，积极开展基础理论、政策法规、执法技能等方面的培训，积极探索市县联动监管执法，努力打造一支“讲政治、精业务、负责任、守纪律”的市场监管干部队伍。</w:t>
      </w:r>
    </w:p>
    <w:p w:rsidR="009F0A87" w:rsidRDefault="009F0A87" w:rsidP="009F0A87">
      <w:pPr>
        <w:ind w:firstLineChars="200" w:firstLine="420"/>
      </w:pPr>
      <w:r>
        <w:rPr>
          <w:rFonts w:hint="eastAsia"/>
        </w:rPr>
        <w:t>纵深推进全面从严治党。坚决扛起全面从严治党的主体责任，坚持严的主基调不动摇，加强对党员干部特别是“一把手”和领导班子的监督，更加自觉接受派驻机构监督、社会监督。要时刻保持“赶考”的清醒，驰而不息抓好党风廉政建设和反腐败工作，紧盯违反中央八项规定精神及各类隐形变异问题，紧盯节日期间易发的违纪违法问题，强化党员干部教育管理与监督执纪问责。以企业和群众满不满意、高不高兴、受不受益为检验标准，深入开展行风建设三年攻坚行动。持续纠治“四风”，重点纠治形式主义、官僚主义，巩固深化“改进作风·狠抓落实”工作成果，为市场监管事业发展营造风清气正干事创业的良好环境。</w:t>
      </w:r>
    </w:p>
    <w:p w:rsidR="009F0A87" w:rsidRPr="00115D9E" w:rsidRDefault="009F0A87" w:rsidP="00115D9E">
      <w:pPr>
        <w:jc w:val="right"/>
      </w:pPr>
      <w:r w:rsidRPr="00115D9E">
        <w:rPr>
          <w:rFonts w:hint="eastAsia"/>
        </w:rPr>
        <w:t>多彩贵州网</w:t>
      </w:r>
      <w:r>
        <w:rPr>
          <w:rFonts w:hint="eastAsia"/>
        </w:rPr>
        <w:t>2023-3-7</w:t>
      </w:r>
    </w:p>
    <w:p w:rsidR="009F0A87" w:rsidRDefault="009F0A87" w:rsidP="00CC514F">
      <w:pPr>
        <w:sectPr w:rsidR="009F0A87" w:rsidSect="00CC51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C72B8" w:rsidRDefault="00BC72B8"/>
    <w:sectPr w:rsidR="00BC72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0A87"/>
    <w:rsid w:val="009F0A87"/>
    <w:rsid w:val="00BC72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0A8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F0A8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648</Words>
  <Characters>3694</Characters>
  <Application>Microsoft Office Word</Application>
  <DocSecurity>0</DocSecurity>
  <Lines>30</Lines>
  <Paragraphs>8</Paragraphs>
  <ScaleCrop>false</ScaleCrop>
  <Company>Microsoft</Company>
  <LinksUpToDate>false</LinksUpToDate>
  <CharactersWithSpaces>4334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/>
  <cp:revision>1</cp:revision>
  <dcterms:created xsi:type="dcterms:W3CDTF">2023-03-14T06:09:00Z</dcterms:created>
</cp:coreProperties>
</file>