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1F5" w:rsidRDefault="005211F5" w:rsidP="00F125C0">
      <w:pPr>
        <w:pStyle w:val="1"/>
      </w:pPr>
      <w:r w:rsidRPr="00F125C0">
        <w:rPr>
          <w:rFonts w:hint="eastAsia"/>
        </w:rPr>
        <w:t>激发市场活力</w:t>
      </w:r>
      <w:r w:rsidRPr="00F125C0">
        <w:t xml:space="preserve"> 北交所努力打造中小企业估值定价中心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对于构建中国特色估值体系，多位代表委员认为，北交所具备“打造中小企业估值定价中心”相应的基础和条件，通过建立系统的专业的估值标准，将为中小企业和投资者提供合理精准的估值，并能拓宽中小企业的融资渠道，为中小企业高质量发展注入新动能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北交所相关负责人表示，北交所将持续聚焦挂牌上市中小企业面临的流动性基础天然较弱、估值定价功能有待改善等问题，优化发行承销机制，引导市场科学定价，加大对发行人服务力度。聚焦一二级市场平衡，形成合理的常态化发行上市节奏。积极探索契合中小市值股票特征的交易制度机制。同时，着眼于中小企业融资需求，以更大投入引导和调动各类资金参与，开发指数基金与特色产品，进一步提高再融资效率，丰富并购重组支付工具，为挂牌上市企业扩充资金来源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关于中国特色估值体系的要义，代表委员各抒己见。“重要的是立足于我国经济发展的实践，我们的市场体制机制、行业产业结构具有鲜明特色，只有探索建立具有中国特色的估值体系，才能促进市场资源配置功能更好发挥。”全国人大代表、天工国际董事局主席朱小坤说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全国人大代表、荣华控股集团董事长崔荣华认为，中国特色估值体系契合中国式现代化特征，有望惠及更多人民群众的利益，利于共享发展的商业模式；更强调可持续性，将对绿色、可持续发展领域提供更有力的支持；能够更好地支持产业安全与发展，为加快建设现代化产业体系赋能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“在加快构建新发展格局之际，提出构建中国特色的估值体系，是为了更好地完善不同类型上市公司的估值逻辑，更好地发挥资本市场资源配置功能。希望在主管部门的推动下，进一步提升估值定价的科学性、有效性，积极培养专业化程度较高、注重价值和长期投资的各类金融机构，进一步赋能广大中小企业。”全国政协委员、希肯文化董事长安庭表示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落脚到北交所，朱小坤认为，随着全面注册制推行，我国多层次资本市场体系已然成形，不同板块定位不同，服务的企业类型也不同。北交所作为服务创新型中小企业的市场，应当在中小企业估值定价上发挥引领作用，利用不断成熟的市场机制，探索具有中国特色的中小企业估值定价模式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崔荣华表示，北交所打造中小企业估值定价中心有利于中小企业发展。随着北交所市场生态持续完善，估值指挥棒在促进企业练好内功的同时，也会让企业更加重视投资者关系管理，让市场更好认识挖掘企业内在价值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（小标题）北交所特色制度见成效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“北交所经过一年多的发展，在打造服务创新型中小企业主阵地的定位上，取得了显著成绩，积累了丰富经验。”安庭表示，“我相信北交所已经具备打造中小企业估值定价中心的基础和条件。”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开市一年多来，北交所深入贯彻中央决策部署，在建设中国特色资本市场的总体框架下，凝聚合力推进市场建设、发展各项工作，在发行上市、融资并购、市场交易、产品服务等方面积极创新，实现良好开局。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一批优质企业在北交所聚集发展。截至</w:t>
      </w:r>
      <w:r>
        <w:t>3</w:t>
      </w:r>
      <w:r>
        <w:t>月</w:t>
      </w:r>
      <w:r>
        <w:t>12</w:t>
      </w:r>
      <w:r>
        <w:t>日，北交所共有上市公司</w:t>
      </w:r>
      <w:r>
        <w:t>178</w:t>
      </w:r>
      <w:r>
        <w:t>家，较开市时增超一倍。其中，披露业绩快报的</w:t>
      </w:r>
      <w:r>
        <w:t>175</w:t>
      </w:r>
      <w:r>
        <w:t>家公司</w:t>
      </w:r>
      <w:r>
        <w:t>2022</w:t>
      </w:r>
      <w:r>
        <w:t>年合计实现营业收入</w:t>
      </w:r>
      <w:r>
        <w:t>1301.79</w:t>
      </w:r>
      <w:r>
        <w:t>亿元，同比增长</w:t>
      </w:r>
      <w:r>
        <w:t>21.55%</w:t>
      </w:r>
      <w:r>
        <w:t>，盈利面超过九成。北交所公司创新能力普遍较强、科技成色足，其中约四成公司获评国家级专精特新</w:t>
      </w:r>
      <w:r>
        <w:t>“</w:t>
      </w:r>
      <w:r>
        <w:t>小巨人</w:t>
      </w:r>
      <w:r>
        <w:t>”</w:t>
      </w:r>
      <w:r>
        <w:t>企业称号。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北交所构建了一套特色制度安排。北交所在准入标准、审核机制、交易制度等方面进行了大胆探索；同时，为上市公司提供多元化的融资品种、融资方式和市场化定价机制，实施更加灵活的股权激励安排，在定位上更加契合中小企业发展阶段和成长规律，与科创板、创业板形成合理差异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开市以来，一批标志性的改革举措在北交所渐次落地。北证</w:t>
      </w:r>
      <w:r>
        <w:t>50</w:t>
      </w:r>
      <w:r>
        <w:t>指数于去年</w:t>
      </w:r>
      <w:r>
        <w:t>11</w:t>
      </w:r>
      <w:r>
        <w:t>月上线，为市场提供了运行表征和投资基准；融资融券业务于今年</w:t>
      </w:r>
      <w:r>
        <w:t>2</w:t>
      </w:r>
      <w:r>
        <w:t>月</w:t>
      </w:r>
      <w:r>
        <w:t>13</w:t>
      </w:r>
      <w:r>
        <w:t>日推出，进一步丰富了投资者的交易策略；混合交易业务于今年</w:t>
      </w:r>
      <w:r>
        <w:t>2</w:t>
      </w:r>
      <w:r>
        <w:t>月</w:t>
      </w:r>
      <w:r>
        <w:t>20</w:t>
      </w:r>
      <w:r>
        <w:t>日正式实施，目前运行良好。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另外，北交所已经形成股债并进的新格局。北交所于去年</w:t>
      </w:r>
      <w:r>
        <w:t>7</w:t>
      </w:r>
      <w:r>
        <w:t>月启动地方政府债发行，同年</w:t>
      </w:r>
      <w:r>
        <w:t>9</w:t>
      </w:r>
      <w:r>
        <w:t>月启动国债发行，其中国债发行业务是境内交易所的第一次实践。目前政府债券累计发行金额超</w:t>
      </w:r>
      <w:r>
        <w:t>1.4</w:t>
      </w:r>
      <w:r>
        <w:t>万亿元。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（小标题）加大力度优化市场生态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在打造中小企业估值定价中心的征程上，北交所任重道远。朱小坤表示，北交所在市场流动性、个股估值水平方面有进一步完善的空间，可通过扩充优质企业规模、提高市场流动性，吸引更多的投资者参与。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朱小坤建议，一方面，可进一步降低个人投资者门槛，鼓励券商、公募基金、保险公司等机构投资者进入市场，吸引更多长期稳定资金，提升公司估值，提高市场交易活跃度。另一方面，充分尊重创新型中小企业发展规律，与其他板块审核形成明显差异，对目前盈利能力不强但发展前景较好，以及具有技术、产品、管理、商业模式等创新的企业，在保证规范性的情况下给予更大宽容度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安庭建议，进一步扩大北交所、新三板的机构投资者队伍。北交所、新三板进一步延伸对“专精特新”的释义，将文化类、创意类等现代服务业领域中小企业纳入认定范畴与实施框架，帮助其深耕细作、发展壮大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事实上，北交所“十四五”时期的发展蓝图及“施工图”已绘就，将努力实现建设“一个主渠道、两个中心、三个平台”的目标，实施企业强市战略、产品多元战略、投融平衡战略、市场对接战略、服务兴市战略、治理提升战略六大创新发展战略。</w:t>
      </w:r>
    </w:p>
    <w:p w:rsidR="005211F5" w:rsidRDefault="005211F5" w:rsidP="005211F5">
      <w:pPr>
        <w:ind w:firstLineChars="200" w:firstLine="420"/>
      </w:pPr>
      <w:r>
        <w:rPr>
          <w:rFonts w:hint="eastAsia"/>
        </w:rPr>
        <w:t>中国证券报记者从北交所了解到，接下来，北交所将从提升服务的包容度和精准度、不断激发市场活力、完善市场服务体系、推动形成良性市场生态四个方面，进一步支持创新型中小企业发展。（完）</w:t>
      </w:r>
    </w:p>
    <w:p w:rsidR="005211F5" w:rsidRDefault="005211F5" w:rsidP="00F125C0">
      <w:pPr>
        <w:jc w:val="right"/>
      </w:pPr>
      <w:r w:rsidRPr="00F125C0">
        <w:rPr>
          <w:rFonts w:hint="eastAsia"/>
        </w:rPr>
        <w:t>新华社北京</w:t>
      </w:r>
      <w:r>
        <w:rPr>
          <w:rFonts w:hint="eastAsia"/>
        </w:rPr>
        <w:t>2023-3-13</w:t>
      </w:r>
    </w:p>
    <w:p w:rsidR="005211F5" w:rsidRDefault="005211F5" w:rsidP="001F32A8">
      <w:pPr>
        <w:sectPr w:rsidR="005211F5" w:rsidSect="001F32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25BB6" w:rsidRDefault="00225BB6"/>
    <w:sectPr w:rsidR="00225B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211F5"/>
    <w:rsid w:val="00225BB6"/>
    <w:rsid w:val="005211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211F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211F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1919</Characters>
  <Application>Microsoft Office Word</Application>
  <DocSecurity>0</DocSecurity>
  <Lines>15</Lines>
  <Paragraphs>4</Paragraphs>
  <ScaleCrop>false</ScaleCrop>
  <Company>Microsoft</Company>
  <LinksUpToDate>false</LinksUpToDate>
  <CharactersWithSpaces>2251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2023-03-18T06:38:00Z</dcterms:created>
</cp:coreProperties>
</file>