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270" w:rsidRDefault="00171270" w:rsidP="00740E72">
      <w:pPr>
        <w:pStyle w:val="1"/>
      </w:pPr>
      <w:r>
        <w:t>长春市出台推动肉牛产业发展新政策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为进一步推动我市肉牛产业实现超常规、高质量和可持续发展，切实把“秸秆变肉”暨三百万头肉牛工程打造成乡村振兴和富民强市的标志性工程，制定如下措施。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第一条　本措施适用于肉牛产业相关的法人企业、专业合作社、家庭牧场、肉牛养殖大户和个体肉牛养殖户等各类市场主体及推进肉牛产业（养殖）园区、主题街区、肉牛养殖强镇、大村建设的有关建设主体。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第二条　加大政府投资基金对肉牛产业的支持力度。把支持肉牛产业高质量发展作为“长兴基金”现代农业主导基金的主攻方向之一，重点支持发展肉牛种业、研发、养殖、屠宰和精深加工、市场营销等产业。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第三条　充分利用专项债券支持肉牛产业基础设施建设。利用债券资金建设一批肉牛产业园区、养殖园区、重大项目，打造肉牛产业发展龙头支撑和载体平台。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第四条　充分发挥国有农业投资公司引领带动作用。在强链、补链、延链上持续发力，稳步推进养加销一体化发展，大力推广“放母收犊”“公司加农户”模式，深入开展带户养殖，持续提升研发、加工、营销等方面的能力和水平，充分发挥龙头主导、产业支撑、引领带动和典型示范作用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第五条　支持肉牛良种繁育体系建设。鼓励通过育种新技术开展适应不同生产模式的肉牛新品种选育，因地制宜逐步建立优化利用引进品种的肉牛杂交繁育体系，结合本地实际重点支持西门塔尔本土化选育、沃金黑牛新品种培育及安格斯等其他优质肉牛品种的高效推广应用。鼓励新建肉牛核心育种场和种公牛站。对新增国家和省级肉牛核心育种场分别给予</w:t>
      </w:r>
      <w:r>
        <w:t>100</w:t>
      </w:r>
      <w:r>
        <w:t>万元和</w:t>
      </w:r>
      <w:r>
        <w:t>50</w:t>
      </w:r>
      <w:r>
        <w:t>万元奖励，对新增种公牛站给予</w:t>
      </w:r>
      <w:r>
        <w:t>100</w:t>
      </w:r>
      <w:r>
        <w:t>万元奖励。支持肉牛核心育种场和种公牛站通过改（扩）建持续进行升级改造，不断提升种牛质量，优化牛群品种结构，扩大育种供种能力，对每年自繁新增符合种</w:t>
      </w:r>
      <w:r>
        <w:rPr>
          <w:rFonts w:hint="eastAsia"/>
        </w:rPr>
        <w:t>用标准种母牛数量超过</w:t>
      </w:r>
      <w:r>
        <w:t>40</w:t>
      </w:r>
      <w:r>
        <w:t>头、种公牛数量超过</w:t>
      </w:r>
      <w:r>
        <w:t>20</w:t>
      </w:r>
      <w:r>
        <w:t>头的种畜禽（遗传材料）生产经营企业，给予最高不超过</w:t>
      </w:r>
      <w:r>
        <w:t>100</w:t>
      </w:r>
      <w:r>
        <w:t>万元奖励。制定市级优质肉牛核心育种场建设标准，支持开展联合育种，对创建达标的市级优质肉牛核心育种场每户给予最高不超过</w:t>
      </w:r>
      <w:r>
        <w:t>20</w:t>
      </w:r>
      <w:r>
        <w:t>万元的补助。支持肉牛养殖企业使用胚胎移植技术提升基础母牛和种牛个体质量，每枚胚胎给予最高不超过</w:t>
      </w:r>
      <w:r>
        <w:t>500</w:t>
      </w:r>
      <w:r>
        <w:t>元补助。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第六条　支持基础母牛扩群增量。鼓励肉牛养殖场（户）直接从国外、省外引进优良基础母牛开展自繁自育或通过“放母收犊”模式发展带户养殖，引进基础母牛数量超过省级同类政策补贴数量上限的部分，市里按照引进母牛数量多少分档给予补贴。鼓励肉牛养殖户直接从省外引进优良基础母牛进行自繁自育，购进基础母牛数量达到</w:t>
      </w:r>
      <w:r>
        <w:t>10</w:t>
      </w:r>
      <w:r>
        <w:t>头不超过</w:t>
      </w:r>
      <w:r>
        <w:t>49</w:t>
      </w:r>
      <w:r>
        <w:t>头且养殖户承诺自育</w:t>
      </w:r>
      <w:r>
        <w:t>1</w:t>
      </w:r>
      <w:r>
        <w:t>年以上的，每头给予不超过</w:t>
      </w:r>
      <w:r>
        <w:t>1000</w:t>
      </w:r>
      <w:r>
        <w:t>元补贴。达不到承诺自育时间要求的（不可抗力导致死亡的除外），一经发现补助资金全额予以追缴。引进母牛已享受上级同类政策的本级不再重复进行补贴。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第七条　深入实施性控繁殖技术推广应用计划。为自愿选择采用性控技术进行可繁母牛配种繁育的肉牛养殖场（户）提供性控冻精和配种繁殖（母牛输精）服务，每头可繁母牛每利用性控冻精配种成功一次（胎）给予一定额度的补贴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第八条　支持新（改、扩）建规模化肉牛养殖场。包括母牛繁育场和育肥牛场，其中母牛繁育场新增设计存栏规模达到</w:t>
      </w:r>
      <w:r>
        <w:t>100</w:t>
      </w:r>
      <w:r>
        <w:t>头，育肥牛场新增设计存栏规模达到</w:t>
      </w:r>
      <w:r>
        <w:t>200</w:t>
      </w:r>
      <w:r>
        <w:t>头，依据平均养殖密度配套标准畜舍面积不低于</w:t>
      </w:r>
      <w:r>
        <w:t>5m²/</w:t>
      </w:r>
      <w:r>
        <w:t>头的，按照设计标准建成投（达）产后，一次性给予最高不超过</w:t>
      </w:r>
      <w:r>
        <w:t>30</w:t>
      </w:r>
      <w:r>
        <w:t>万元补贴。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lastRenderedPageBreak/>
        <w:t>第九条　支持肉牛养殖园区建设。对于新（改、扩）建新增设计存栏规模千头以上（含千头）或万头以上（含万头）的母牛繁育园区和肉牛育肥园区，按照平均养殖密度配套标准畜舍面积不低于</w:t>
      </w:r>
      <w:r>
        <w:t>5m²/</w:t>
      </w:r>
      <w:r>
        <w:t>头的，按照设计标准建成投产后，一次性分别给予建设主体最高不超过</w:t>
      </w:r>
      <w:r>
        <w:t>100</w:t>
      </w:r>
      <w:r>
        <w:t>万元和</w:t>
      </w:r>
      <w:r>
        <w:t>300</w:t>
      </w:r>
      <w:r>
        <w:t>万元补贴。对于新增存栏规模较大、引领示范作用明显的大型肉牛养殖园区，可以根据其实际投资额度适当提高补助标准。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第十条　支持发展肉牛屠宰和精深加工。对于新建一型肉牛屠宰场，批准投产后，一次性给予建设主体最高不超过</w:t>
      </w:r>
      <w:r>
        <w:t>500</w:t>
      </w:r>
      <w:r>
        <w:t>万元补助。对于改扩建为一型肉牛屠宰场的，批准投产后，一次性给予建设主体最高不超过</w:t>
      </w:r>
      <w:r>
        <w:t>200</w:t>
      </w:r>
      <w:r>
        <w:t>万元补助。对于新（改、扩）建精细分割、熟食制品、生物医药、皮革加工等肉牛精深加工项目，单个或多个项目设施设备等固定资产投资额超过</w:t>
      </w:r>
      <w:r>
        <w:t>2000</w:t>
      </w:r>
      <w:r>
        <w:t>万元、</w:t>
      </w:r>
      <w:r>
        <w:t>5000</w:t>
      </w:r>
      <w:r>
        <w:t>万元、</w:t>
      </w:r>
      <w:r>
        <w:t>1</w:t>
      </w:r>
      <w:r>
        <w:t>亿元和</w:t>
      </w:r>
      <w:r>
        <w:t>3</w:t>
      </w:r>
      <w:r>
        <w:t>亿元的，按照设计标准建成投产后，分别一次性给予建设主体最高不超过</w:t>
      </w:r>
      <w:r>
        <w:t>150</w:t>
      </w:r>
      <w:r>
        <w:t>万元、</w:t>
      </w:r>
      <w:r>
        <w:t>300</w:t>
      </w:r>
      <w:r>
        <w:t>万元、</w:t>
      </w:r>
      <w:r>
        <w:t>500</w:t>
      </w:r>
      <w:r>
        <w:t>万元和</w:t>
      </w:r>
      <w:r>
        <w:t>800</w:t>
      </w:r>
      <w:r>
        <w:t>万元补助。对于投资数额大、产品科技含量高、填</w:t>
      </w:r>
      <w:r>
        <w:rPr>
          <w:rFonts w:hint="eastAsia"/>
        </w:rPr>
        <w:t>补肉牛产业链空白的精深加工项目，可根据其实际投资额度适当提高补助标准。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第十一条　支持肉牛产业园区建设。对于新建一、二、三产融合发展的综合性肉牛产业园区，养殖项目设计存栏能力达到</w:t>
      </w:r>
      <w:r>
        <w:t>5000</w:t>
      </w:r>
      <w:r>
        <w:t>头，屠宰场项目为一型，熟食加工项目设计生产能力达到</w:t>
      </w:r>
      <w:r>
        <w:t>2</w:t>
      </w:r>
      <w:r>
        <w:t>万吨，或配套建设其他精深加工、研发创新、市场营销、饲料生产及粪污处理等项目，全部按照设计标准建成投产后，一次性给予建设主体最高不超过</w:t>
      </w:r>
      <w:r>
        <w:t>500</w:t>
      </w:r>
      <w:r>
        <w:t>万元补贴。对于养殖、加工等综合产能超大、功能配套齐全、引领带动作用显著的肉牛产业园区，可根据其实际投资额度适当提高补助标准。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第十二条　支持肉牛产业龙头企业和品牌建设。“十四五”期间，对首次评定为国家、省、市级龙头企业的，分别一次性给予</w:t>
      </w:r>
      <w:r>
        <w:t>30</w:t>
      </w:r>
      <w:r>
        <w:t>万元、</w:t>
      </w:r>
      <w:r>
        <w:t>15</w:t>
      </w:r>
      <w:r>
        <w:t>万元和</w:t>
      </w:r>
      <w:r>
        <w:t>5</w:t>
      </w:r>
      <w:r>
        <w:t>万元奖励。对年度营收首次突破</w:t>
      </w:r>
      <w:r>
        <w:t>10</w:t>
      </w:r>
      <w:r>
        <w:t>亿元、</w:t>
      </w:r>
      <w:r>
        <w:t>50</w:t>
      </w:r>
      <w:r>
        <w:t>亿元、</w:t>
      </w:r>
      <w:r>
        <w:t>100</w:t>
      </w:r>
      <w:r>
        <w:t>亿元的肉牛屠宰加工、市场营销或养加销一体化企业，分别一次性给予</w:t>
      </w:r>
      <w:r>
        <w:t>30</w:t>
      </w:r>
      <w:r>
        <w:t>万元、</w:t>
      </w:r>
      <w:r>
        <w:t>50</w:t>
      </w:r>
      <w:r>
        <w:t>万元和</w:t>
      </w:r>
      <w:r>
        <w:t>100</w:t>
      </w:r>
      <w:r>
        <w:t>万元奖励。鼓励开展健康养殖，引导产业绿色发展，对首次通过无公害农产品、绿色食品、有机农产品、无抗畜禽产品认证和农产品地理标志登记的肉牛企业，一次性给予一定奖励。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第十三条　支持肉牛及其产品线上线下交易平台建设。引进电商营销头部企业，完善冷链物流体系建设。鼓励企业拓宽线上交易渠道，发展加盟连锁直营、社群配送及流动摊位营销等新零售、新模式。对于新建肉牛线上线下交易平台，根据运营效果和投资规模，平台正式运营后，给予一定额度补贴；对于新建、扩建肉牛交易市场，按投资规模，市场正式运营后，给予一定额度补贴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第十四条　鼓励“吉牛”餐食品牌与业态创新。重点支持发展“吉牛”美食餐饮连锁企业及餐食特色名店，打造“吉牛”特色美食街、牛文化体验购物娱乐及主题文化“牛街”，对于成效显著的，给予一定奖励。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第十五条　鼓励肉牛全产业链标准化建设。支持肉牛种业、繁育、饲料、饲养、饲舍、防疫、屠宰、加工、营销等标准化、数字化建设。对编制国家、行业、省、地方标准的单位给予一定奖励。对新认定的国家、行业、省、地方的标准化肉牛企业给予一定奖励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第十六条　支持肉牛养殖特色产业小镇和强镇大村建设。新规划建设的市级肉牛养殖特色产业小镇和肉牛养殖强镇，按规划标准建成、养殖数量达到规定要求的，结合实际对规划建设主体给予一定奖励，支持不断提升辖区内肉牛产业基础设施配套建设水平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第十七条　鼓励肉牛产业科技创新。深化政研企合作，列支专项经费，研究提出重点科研课题开展集中攻关，解决肉牛产业发展制约问题。对于通过科技部、省科技厅评估认定的肉牛产业科技创新中心一次性给予</w:t>
      </w:r>
      <w:r>
        <w:t>100</w:t>
      </w:r>
      <w:r>
        <w:t>万元、</w:t>
      </w:r>
      <w:r>
        <w:t>50</w:t>
      </w:r>
      <w:r>
        <w:t>万元奖励。对校企合作、技术引进等科技成果转化项目，项目正式投入生产的，按技术合同交易额</w:t>
      </w:r>
      <w:r>
        <w:t>10%</w:t>
      </w:r>
      <w:r>
        <w:t>给予肉牛企业补助，补贴上限最高不超过</w:t>
      </w:r>
      <w:r>
        <w:t>200</w:t>
      </w:r>
      <w:r>
        <w:t>万元。对于肉牛产业重大科技创新项目，可根据研发投入情况适当提高补助标准。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第十八条　支持秸秆饲料化利用。大力推广膨化、青黄贮、茎穗兼收一次性作业等先进高效秸秆饲料化利用技术和模式，多点布局加快培育第三方秸秆饲料加工销售企业，稳步推进饲料利用实现专业化、标准化、市场化、区域化供应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第十九条　支持养殖废弃物资源化利用。强化畜禽粪污资源化利用指导和服务，大力推广粪污综合利用适用技术和运行模式，持续提升病死畜禽无害化处理和畜禽粪污收储运用体系建设水平，引导形成种养结合、农牧循环的新发展格局。对于畜禽粪污资源化利用推进效果明显的县（市）区、开发区，结合实际给予一定的奖励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第二十条　落实农机购置补贴政策。对养殖场（户）购置自动饲喂、疫病防控、废弃物处理、饲草料生产等机械装备的，按照国家农机购置补贴政策进行补贴，实现应补尽补。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第二十一条　深入开展肉牛养殖成本保险。深化地方优势特色农产品保险试点，大力推广肉牛养殖成本保险，加大保费补贴支持力度，不断提升肉牛养殖风险抵御能力。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第二十二条　加大金融对肉牛产业的支持力度。强化“政银保担”联动支牧服务体系建设，进一步创新涉牧（牛）信贷产品，完善产品体系，创新服务模式。“吉农牧贷”金融产品优先支持肉牛产业，针对中小养殖户大力推广“活畜抵押贷款”等新型金融产品。充分发挥农村中小金融机构的支农主力军作用，稳步提升肉牛产业普惠金融服务水平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第二十三条　保障肉牛产业用地需求。全面落实设施农业用地政策支持肉牛产业发展，推动肉牛养殖合理布局。在村庄规划中整合宅基地、未利用地和低效闲置土地，划定养殖类农业设施用地范围，保障肉牛产业发展空间需求，对用于发展“退户入区”和规模化肉牛养殖的用地需求予以优先保障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第二十四条　对年度内重大招商引资、重大产业布局等有突出贡献的肉牛产业重大项目可以采取“一事一议”的方式研究给予奖励。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第二十五条　“十四五”期间，市里每年安排不少于</w:t>
      </w:r>
      <w:r>
        <w:t>1</w:t>
      </w:r>
      <w:r>
        <w:t>亿元的肉牛产业专项引导资金，采取</w:t>
      </w:r>
      <w:r>
        <w:t>“</w:t>
      </w:r>
      <w:r>
        <w:t>就高不就低</w:t>
      </w:r>
      <w:r>
        <w:t>”</w:t>
      </w:r>
      <w:r>
        <w:t>和</w:t>
      </w:r>
      <w:r>
        <w:t>“</w:t>
      </w:r>
      <w:r>
        <w:t>先建后补</w:t>
      </w:r>
      <w:r>
        <w:t>”</w:t>
      </w:r>
      <w:r>
        <w:t>原则补贴。具体资金额度一年一定，在年度财政预算资金额度内，由主管部门据实测算核定、论证评估和申报，财政部门审核拨付。具体政策细化、资金管理、条件设置、申报验收等有关事项由市肉牛办、市畜牧局会同市财政局结合实际，制定年度实施细则或项目指南予以明确并组织实施，相关条款的实际补贴标准根据财政年度预算资金额度研究确定。</w:t>
      </w:r>
    </w:p>
    <w:p w:rsidR="00171270" w:rsidRDefault="00171270" w:rsidP="00171270">
      <w:pPr>
        <w:ind w:firstLineChars="200" w:firstLine="420"/>
      </w:pPr>
      <w:r>
        <w:rPr>
          <w:rFonts w:hint="eastAsia"/>
        </w:rPr>
        <w:t>第二十六条　本措施自印发之日起施行。《长春市人民政府办公厅印发关于支持肉牛产业发展若干措施的通知》（长府办规〔</w:t>
      </w:r>
      <w:r>
        <w:t>2021</w:t>
      </w:r>
      <w:r>
        <w:t>〕</w:t>
      </w:r>
      <w:r>
        <w:t>1</w:t>
      </w:r>
      <w:r>
        <w:t>号）同时废止。</w:t>
      </w:r>
    </w:p>
    <w:p w:rsidR="00171270" w:rsidRDefault="00171270" w:rsidP="00171270">
      <w:pPr>
        <w:ind w:firstLineChars="200" w:firstLine="420"/>
        <w:jc w:val="right"/>
      </w:pPr>
      <w:r w:rsidRPr="002D3BCC">
        <w:rPr>
          <w:rFonts w:hint="eastAsia"/>
        </w:rPr>
        <w:t>长春市人民政府</w:t>
      </w:r>
      <w:r w:rsidRPr="002D3BCC">
        <w:t>2023-01-13</w:t>
      </w:r>
    </w:p>
    <w:p w:rsidR="00171270" w:rsidRDefault="00171270" w:rsidP="00283D4F">
      <w:pPr>
        <w:sectPr w:rsidR="00171270" w:rsidSect="00283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18B5" w:rsidRDefault="00C318B5"/>
    <w:sectPr w:rsidR="00C318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71270"/>
    <w:rsid w:val="00171270"/>
    <w:rsid w:val="00C31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12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1712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3437</Characters>
  <Application>Microsoft Office Word</Application>
  <DocSecurity>0</DocSecurity>
  <Lines>28</Lines>
  <Paragraphs>8</Paragraphs>
  <ScaleCrop>false</ScaleCrop>
  <Company>Microsoft</Company>
  <LinksUpToDate>false</LinksUpToDate>
  <CharactersWithSpaces>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2023-03-04T05:50:00Z</dcterms:created>
</cp:coreProperties>
</file>