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3212" w:rsidRDefault="00673212" w:rsidP="005B518D">
      <w:pPr>
        <w:pStyle w:val="1"/>
      </w:pPr>
      <w:r>
        <w:rPr>
          <w:rFonts w:hint="eastAsia"/>
        </w:rPr>
        <w:t>宝鸡市举办工业企业数字化转型升级暨数字化水平评估</w:t>
      </w:r>
    </w:p>
    <w:p w:rsidR="00673212" w:rsidRDefault="00673212" w:rsidP="00673212">
      <w:pPr>
        <w:ind w:firstLineChars="200" w:firstLine="420"/>
      </w:pPr>
      <w:r>
        <w:t>2</w:t>
      </w:r>
      <w:r>
        <w:t>月</w:t>
      </w:r>
      <w:r>
        <w:t>24</w:t>
      </w:r>
      <w:r>
        <w:t>日，宝鸡市工信局、渭滨区政府、市工业互联网产业联合会在万利酒店联合举办</w:t>
      </w:r>
      <w:r>
        <w:t>“</w:t>
      </w:r>
      <w:r>
        <w:t>渭滨区工业企业数字化转型升级暨数字化水平评估启动大会</w:t>
      </w:r>
      <w:r>
        <w:t>”</w:t>
      </w:r>
      <w:r>
        <w:t>，邀请中国著名的管理咨询专家、北京两化融合联盟理事长闫同柱等知名专家，围绕企业数字化转型作了专题讲座，市县相关部门及有关企业共计</w:t>
      </w:r>
      <w:r>
        <w:t>200</w:t>
      </w:r>
      <w:r>
        <w:t>人参会。</w:t>
      </w:r>
    </w:p>
    <w:p w:rsidR="00673212" w:rsidRDefault="00673212" w:rsidP="00673212">
      <w:pPr>
        <w:ind w:firstLineChars="200" w:firstLine="420"/>
      </w:pPr>
      <w:r>
        <w:rPr>
          <w:rFonts w:hint="eastAsia"/>
        </w:rPr>
        <w:t>近年来，宝鸡市抢抓新一代信息技术与先进制造技术融合发展机遇，坚持把数字化转型作为推动工业转型升级、打造全省先进制造业排头兵的重要抓手，大力推进互联网与制造业融合发展，企业数字化转型走在西部的前列。为进一步加快提升数字化转型工作成效，该市决定在全市开展工业互联网一体化进园区“百城千园行”活动，渭滨区、市工业互联网产业联合会承办了首场活动。市上将全面贯彻落实“</w:t>
      </w:r>
      <w:r>
        <w:t>1+5+N”</w:t>
      </w:r>
      <w:r>
        <w:t>政策体系，加大扶持力度，加快推动数字化转型步伐，助推工业经济高质量发展。</w:t>
      </w:r>
    </w:p>
    <w:p w:rsidR="00673212" w:rsidRDefault="00673212" w:rsidP="00673212">
      <w:pPr>
        <w:ind w:firstLineChars="200" w:firstLine="420"/>
      </w:pPr>
      <w:r>
        <w:rPr>
          <w:rFonts w:hint="eastAsia"/>
        </w:rPr>
        <w:t>宝鸡市工业互联网产业联合会作为全市工业企业数字化转型的服务机构，由中国移动宝鸡分公司牵头发起，现有会员</w:t>
      </w:r>
      <w:r>
        <w:t>76</w:t>
      </w:r>
      <w:r>
        <w:t>家，主要是协同市工信局全面推进工业企业数转智改和市级综合平台的推广应用等工作，取得了卓有成效的成绩。先后举办数字化评估诊断、工控安全沙龙等多场次活动，服务企业达到</w:t>
      </w:r>
      <w:r>
        <w:t>500</w:t>
      </w:r>
      <w:r>
        <w:t>多家。负责的市工业互联网平台，入选工信部制造业</w:t>
      </w:r>
      <w:r>
        <w:t>“</w:t>
      </w:r>
      <w:r>
        <w:t>双创</w:t>
      </w:r>
      <w:r>
        <w:t>”</w:t>
      </w:r>
      <w:r>
        <w:t>平台、地方政府赋能中小企业数字化转型典型案例。</w:t>
      </w:r>
    </w:p>
    <w:p w:rsidR="00673212" w:rsidRDefault="00673212" w:rsidP="00673212">
      <w:pPr>
        <w:ind w:firstLineChars="200" w:firstLine="420"/>
      </w:pPr>
      <w:r>
        <w:rPr>
          <w:rFonts w:hint="eastAsia"/>
        </w:rPr>
        <w:t>会上，渭滨区介绍，近几年区上不断抢抓历史机遇，积极推动企业数字化转型，取得了明显的成效。仅</w:t>
      </w:r>
      <w:r>
        <w:t>2022</w:t>
      </w:r>
      <w:r>
        <w:t>年，宝光珊和等</w:t>
      </w:r>
      <w:r>
        <w:t>7</w:t>
      </w:r>
      <w:r>
        <w:t>户企业通过国家两化融合贯标，长美科技等</w:t>
      </w:r>
      <w:r>
        <w:t>3</w:t>
      </w:r>
      <w:r>
        <w:t>户企业晋级国家专精特新</w:t>
      </w:r>
      <w:r>
        <w:t>“</w:t>
      </w:r>
      <w:r>
        <w:t>小巨人</w:t>
      </w:r>
      <w:r>
        <w:t>”</w:t>
      </w:r>
      <w:r>
        <w:t>企业，宝石钢管、宝光真空入选省级智能制造试点示范企业、智能工厂。下一步，区上将加大资金投入，在智能发展上下功夫，在数字赋能上做文章，在技术创新上求突破，推动全区企业数字化转型再上新台阶，为全市企业数字化转型做出应有贡献。</w:t>
      </w:r>
    </w:p>
    <w:p w:rsidR="00673212" w:rsidRDefault="00673212" w:rsidP="00673212">
      <w:pPr>
        <w:ind w:firstLineChars="200" w:firstLine="420"/>
      </w:pPr>
      <w:r w:rsidRPr="005B518D">
        <w:rPr>
          <w:rFonts w:hint="eastAsia"/>
        </w:rPr>
        <w:t>会议期间，渭滨区聘请北京两化融合联盟理事长闫同柱为渭滨区政府首席数字化转型专家，为陕西电子工业研究院高级工程师李光涛、陕西立邦软件有限公司董事长高彧韡等</w:t>
      </w:r>
      <w:r w:rsidRPr="005B518D">
        <w:t>5</w:t>
      </w:r>
      <w:r w:rsidRPr="005B518D">
        <w:t>名同志颁发数字化评估诊断专家聘书。</w:t>
      </w:r>
    </w:p>
    <w:p w:rsidR="00673212" w:rsidRPr="005B518D" w:rsidRDefault="00673212" w:rsidP="005B518D">
      <w:pPr>
        <w:jc w:val="right"/>
      </w:pPr>
      <w:r w:rsidRPr="005B518D">
        <w:rPr>
          <w:rFonts w:hint="eastAsia"/>
        </w:rPr>
        <w:t>西北信息报</w:t>
      </w:r>
      <w:r w:rsidRPr="005B518D">
        <w:t>2023-02-28</w:t>
      </w:r>
    </w:p>
    <w:p w:rsidR="00673212" w:rsidRDefault="00673212" w:rsidP="004277E3">
      <w:pPr>
        <w:sectPr w:rsidR="00673212" w:rsidSect="004277E3">
          <w:type w:val="continuous"/>
          <w:pgSz w:w="11906" w:h="16838"/>
          <w:pgMar w:top="1644" w:right="1236" w:bottom="1418" w:left="1814" w:header="851" w:footer="907" w:gutter="0"/>
          <w:pgNumType w:start="1"/>
          <w:cols w:space="720"/>
          <w:docGrid w:type="lines" w:linePitch="341" w:charSpace="2373"/>
        </w:sectPr>
      </w:pPr>
    </w:p>
    <w:p w:rsidR="009C71B9" w:rsidRDefault="009C71B9"/>
    <w:sectPr w:rsidR="009C71B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73212"/>
    <w:rsid w:val="00673212"/>
    <w:rsid w:val="009C71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7321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67321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132</Words>
  <Characters>759</Characters>
  <Application>Microsoft Office Word</Application>
  <DocSecurity>0</DocSecurity>
  <Lines>6</Lines>
  <Paragraphs>1</Paragraphs>
  <ScaleCrop>false</ScaleCrop>
  <Company>Microsoft</Company>
  <LinksUpToDate>false</LinksUpToDate>
  <CharactersWithSpaces>890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2023-03-01T10:59:00Z</dcterms:created>
</cp:coreProperties>
</file>