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4F2" w:rsidRDefault="002724F2" w:rsidP="008D4D3A">
      <w:pPr>
        <w:pStyle w:val="1"/>
      </w:pPr>
      <w:r>
        <w:rPr>
          <w:rFonts w:hint="eastAsia"/>
        </w:rPr>
        <w:t>故宫博物院党委书记都海江：加快数字博物馆建设</w:t>
      </w:r>
    </w:p>
    <w:p w:rsidR="002724F2" w:rsidRDefault="002724F2" w:rsidP="008D4D3A">
      <w:pPr>
        <w:ind w:firstLine="420"/>
      </w:pPr>
      <w:r>
        <w:rPr>
          <w:rFonts w:hint="eastAsia"/>
        </w:rPr>
        <w:t>“数字博物馆将文化与科技广泛结合于文物保护利用、展览体验、文化传播、管理运营等方面，具有显著优势和广泛前景，可以实现从实体馆舍向数字云端的系统性转型，带来公共文化服务理念与方式的认识变革。”全国政协委员，故宫博物院党委书记、副院长都海江在接受记者采访时说。</w:t>
      </w:r>
    </w:p>
    <w:p w:rsidR="002724F2" w:rsidRDefault="002724F2" w:rsidP="008D4D3A">
      <w:pPr>
        <w:ind w:firstLine="420"/>
      </w:pPr>
      <w:r>
        <w:rPr>
          <w:rFonts w:hint="eastAsia"/>
        </w:rPr>
        <w:t>都海江介绍，党的十八大以来，我国博物馆事业发展取得令人瞩目的成就。</w:t>
      </w:r>
      <w:r>
        <w:rPr>
          <w:rFonts w:hint="eastAsia"/>
        </w:rPr>
        <w:t>2021</w:t>
      </w:r>
      <w:r>
        <w:rPr>
          <w:rFonts w:hint="eastAsia"/>
        </w:rPr>
        <w:t>年末，我国备案的博物馆总数达</w:t>
      </w:r>
      <w:r>
        <w:rPr>
          <w:rFonts w:hint="eastAsia"/>
        </w:rPr>
        <w:t>6183</w:t>
      </w:r>
      <w:r>
        <w:rPr>
          <w:rFonts w:hint="eastAsia"/>
        </w:rPr>
        <w:t>家，新一代数字技术的发展应用，为数字博物馆发展提供了必要的技术支撑。</w:t>
      </w:r>
    </w:p>
    <w:p w:rsidR="002724F2" w:rsidRDefault="002724F2" w:rsidP="008D4D3A">
      <w:pPr>
        <w:ind w:firstLine="420"/>
      </w:pPr>
      <w:r>
        <w:rPr>
          <w:rFonts w:hint="eastAsia"/>
        </w:rPr>
        <w:t>“当前，我国数字博物馆仍存在发展不平衡、不充分等问题，”都海江说，为加快推进数字博物馆建设，建议筑牢数字博物馆的制度基础，进一步完善政策支持体系，加强政策协同配套，充分释放政策综合效应，提高文物和文化遗产数字化保护的科学化、规范化水平。加大数字化标准供给，加快文物数字化标准制修订进度，健全文物藏品标准化体系建设、博物馆评价指标体系等制度，推动更多数字化新标准的发布和已发布标准的落实。推动国家文物数字资源平台建设，吸引社会各方广泛参与文物资源活化利用。完善文物数字资源知识产权管理制度，充分考虑文物的特殊性和文物数字资源开发的实际需要，推动完善文物数字资源保护相关立法，促进文物数字资源健康有序发展。进一步提升政府资金投入，更好发挥引导和激励作用。</w:t>
      </w:r>
    </w:p>
    <w:p w:rsidR="002724F2" w:rsidRDefault="002724F2" w:rsidP="008D4D3A">
      <w:pPr>
        <w:ind w:firstLine="420"/>
      </w:pPr>
      <w:r>
        <w:rPr>
          <w:rFonts w:hint="eastAsia"/>
        </w:rPr>
        <w:t>“要提升博物馆科技支撑水平，加强数字化、虚拟化关键技术攻关。”都海江表示，博物馆数字化采集存储处理展示等环节，需要相应的数字技术、装备制造和基础设施作为保障，特别是完全线上搭建的虚拟博物馆，从内容资源呈现到展厅布局逻辑都更强调重构、沉浸、互动，需要强大的</w:t>
      </w:r>
      <w:r>
        <w:rPr>
          <w:rFonts w:hint="eastAsia"/>
        </w:rPr>
        <w:t>5G</w:t>
      </w:r>
      <w:r>
        <w:rPr>
          <w:rFonts w:hint="eastAsia"/>
        </w:rPr>
        <w:t>网络、虚拟现实、三维可视化等技术支持，应充分发挥国家文化和科技融合示范基地引领作用，鼓励相关部门、地方结合需求布局数字博物馆创新平台。</w:t>
      </w:r>
    </w:p>
    <w:p w:rsidR="002724F2" w:rsidRDefault="002724F2" w:rsidP="008D4D3A">
      <w:pPr>
        <w:ind w:firstLine="420"/>
      </w:pPr>
      <w:r>
        <w:rPr>
          <w:rFonts w:hint="eastAsia"/>
        </w:rPr>
        <w:t>都海江认为，加强数字博物馆建设，人才培养和学术研究是关键，建议在文博行业的类培训中增加文物数字化的授课内容，提高文物保护工作者数字化专业素质和业务能力，推动高校和职业院校在文物与博物馆学、文物保护、文化遗产等专业中增设数字化相关专业课程，重视交叉学科交流与建设，培养“文化</w:t>
      </w:r>
      <w:r>
        <w:rPr>
          <w:rFonts w:hint="eastAsia"/>
        </w:rPr>
        <w:t>+</w:t>
      </w:r>
      <w:r>
        <w:rPr>
          <w:rFonts w:hint="eastAsia"/>
        </w:rPr>
        <w:t>数字”多层次人才队伍，从国家层面部署文物数字化研究项目，围绕保护、阐释、传播等多个领域的关键技术开展攻关。</w:t>
      </w:r>
    </w:p>
    <w:p w:rsidR="002724F2" w:rsidRDefault="002724F2" w:rsidP="008D4D3A">
      <w:pPr>
        <w:ind w:firstLine="420"/>
      </w:pPr>
      <w:r>
        <w:rPr>
          <w:rFonts w:hint="eastAsia"/>
        </w:rPr>
        <w:t>“同时，实施个性定制，深化合作，为数字博物馆提质赋能。”都海江说，根据明确的主题进行个性化定制，利用智能系统集成、交互性强的优势使主题立意、文化内容资源、数字陈列设计和智慧公共文化服务应用相融合，加强观众沉浸式、互动式体验，切实提高数字展厅的展览水平。坚持把社会效益放在首位，鼓励博物馆与社会企业深度合作形成合力，推动文物数字资源与教育、旅游等领域的深度融合，加强优秀文化资源的数字化开发利用。建设一批文化合作示范项目，以“文化</w:t>
      </w:r>
      <w:r>
        <w:rPr>
          <w:rFonts w:hint="eastAsia"/>
        </w:rPr>
        <w:t>+</w:t>
      </w:r>
      <w:r>
        <w:rPr>
          <w:rFonts w:hint="eastAsia"/>
        </w:rPr>
        <w:t>科技”为引擎培育新业态，激活多元创新活力，助力相关行业增长共赢，实现可持续发展。</w:t>
      </w:r>
    </w:p>
    <w:p w:rsidR="002724F2" w:rsidRPr="008D4D3A" w:rsidRDefault="002724F2" w:rsidP="008D4D3A">
      <w:pPr>
        <w:ind w:firstLine="420"/>
        <w:jc w:val="right"/>
      </w:pPr>
      <w:r>
        <w:rPr>
          <w:rFonts w:hint="eastAsia"/>
        </w:rPr>
        <w:t>国家文物局微信公众号</w:t>
      </w:r>
      <w:r>
        <w:rPr>
          <w:rFonts w:hint="eastAsia"/>
        </w:rPr>
        <w:t>2023-03-08</w:t>
      </w:r>
    </w:p>
    <w:p w:rsidR="002724F2" w:rsidRDefault="002724F2" w:rsidP="0028661C">
      <w:pPr>
        <w:sectPr w:rsidR="002724F2" w:rsidSect="002866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1AB7" w:rsidRDefault="00701AB7"/>
    <w:sectPr w:rsidR="00701A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724F2"/>
    <w:rsid w:val="002724F2"/>
    <w:rsid w:val="00701A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724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724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1051</Characters>
  <Application>Microsoft Office Word</Application>
  <DocSecurity>0</DocSecurity>
  <Lines>8</Lines>
  <Paragraphs>2</Paragraphs>
  <ScaleCrop>false</ScaleCrop>
  <Company>Microsoft</Company>
  <LinksUpToDate>false</LinksUpToDate>
  <CharactersWithSpaces>1233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2023-03-15T02:05:00Z</dcterms:created>
</cp:coreProperties>
</file>