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2BF" w:rsidRDefault="000D42BF" w:rsidP="00001EEF">
      <w:pPr>
        <w:pStyle w:val="1"/>
      </w:pPr>
      <w:r>
        <w:t>武威民勤公安：</w:t>
      </w:r>
      <w:r>
        <w:t>“</w:t>
      </w:r>
      <w:r>
        <w:t>清风2023</w:t>
      </w:r>
      <w:r>
        <w:t>”</w:t>
      </w:r>
      <w:r>
        <w:t>专项行动成效显著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自“清风</w:t>
      </w:r>
      <w:r>
        <w:t>2023”</w:t>
      </w:r>
      <w:r>
        <w:t>专项行动开展以来，武威市民勤县公安局严格按照省公安厅、市公安局统一部署要求，以贯彻落实全省、全市公安局长会议精神为契机，结合辖区实际，以</w:t>
      </w:r>
      <w:r>
        <w:t>“</w:t>
      </w:r>
      <w:r>
        <w:t>零容忍</w:t>
      </w:r>
      <w:r>
        <w:t>”</w:t>
      </w:r>
      <w:r>
        <w:t>的态度，加大对涉赌违法犯罪的打击力度，战果丰硕、成效显著。连日来，破获涉赌刑事案件</w:t>
      </w:r>
      <w:r>
        <w:t>3</w:t>
      </w:r>
      <w:r>
        <w:t>起，查处涉赌治安案件</w:t>
      </w:r>
      <w:r>
        <w:t>77</w:t>
      </w:r>
      <w:r>
        <w:t>起，打击处理涉赌违法犯罪人员</w:t>
      </w:r>
      <w:r>
        <w:t>182</w:t>
      </w:r>
      <w:r>
        <w:t>人，收缴赌资</w:t>
      </w:r>
      <w:r>
        <w:t>20</w:t>
      </w:r>
      <w:r>
        <w:t>余万元。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“清风</w:t>
      </w:r>
      <w:r>
        <w:t>2023”</w:t>
      </w:r>
      <w:r>
        <w:t>专项行动安排部署会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锚定战略要点</w:t>
      </w:r>
      <w:r>
        <w:t xml:space="preserve">  </w:t>
      </w:r>
      <w:r>
        <w:t>高位推动抓落实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坚持以社会大局持续安全稳定为主线，以专项行动工作方案为纲，</w:t>
      </w:r>
      <w:r>
        <w:t>3</w:t>
      </w:r>
      <w:r>
        <w:t>项整治重点为靶，专职、专业、专项为牵引，明确</w:t>
      </w:r>
      <w:r>
        <w:t>“1</w:t>
      </w:r>
      <w:r>
        <w:t>方案＋</w:t>
      </w:r>
      <w:r>
        <w:t>1</w:t>
      </w:r>
      <w:r>
        <w:t>专班＋</w:t>
      </w:r>
      <w:r>
        <w:t>25</w:t>
      </w:r>
      <w:r>
        <w:t>部门</w:t>
      </w:r>
      <w:r>
        <w:t>”</w:t>
      </w:r>
      <w:r>
        <w:t>工作模式，确保专项行动稳步推进。先后</w:t>
      </w:r>
      <w:r>
        <w:t>3</w:t>
      </w:r>
      <w:r>
        <w:t>次召开动员部署、推进会议，强化行动分析研判，局党委班子成员严格落实下沉督导调研机制，确保措施落实到位，法制大队、治安大队及时解决案件痛点、难点、堵点，确保行动高效开展。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查处赌博现场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聚焦网上网下</w:t>
      </w:r>
      <w:r>
        <w:t xml:space="preserve">  </w:t>
      </w:r>
      <w:r>
        <w:t>打击犯罪不放松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以重点领域摸排、信息搜集为依托，采取横向排查到边、纵向研判到底、部门联动互通的“蛛网结合”模式，依法精准严打。“群体＋场所”全量摸排，重点领域全覆盖，采取群体动态“扫描”和场所全面“体检”等方式，对辖区历史案件人员、行业场所、废弃场地、出租房屋等群体、场所进行梳理摸排，准确掌握辖区情况；“显性＋隐性”全量搜集，线索分析“过筛子”，强化节点清查、安全检查频次，逐步拓展“全警带情”模式，依托“情指勤舆”“</w:t>
      </w:r>
      <w:r>
        <w:t xml:space="preserve"> </w:t>
      </w:r>
      <w:r>
        <w:t>举报线索</w:t>
      </w:r>
      <w:r>
        <w:t>”,</w:t>
      </w:r>
      <w:r>
        <w:t>逐人逐项</w:t>
      </w:r>
      <w:r>
        <w:t>“</w:t>
      </w:r>
      <w:r>
        <w:t>过筛式</w:t>
      </w:r>
      <w:r>
        <w:t xml:space="preserve"> ”</w:t>
      </w:r>
      <w:r>
        <w:t>分析，对线索深度挖掘，确保不放过任何疑点问题；</w:t>
      </w:r>
      <w:r>
        <w:t>“</w:t>
      </w:r>
      <w:r>
        <w:t>追踪＋清扫</w:t>
      </w:r>
      <w:r>
        <w:t>”</w:t>
      </w:r>
      <w:r>
        <w:t>全量分析，精准</w:t>
      </w:r>
      <w:r>
        <w:rPr>
          <w:rFonts w:hint="eastAsia"/>
        </w:rPr>
        <w:t>打击“不过夜”</w:t>
      </w:r>
      <w:r>
        <w:t>,</w:t>
      </w:r>
      <w:r>
        <w:t>对在手线索跟踪调查，在手案件快侦快办，整合警种部门优势，健全联动机制，依法精准打击。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对宾馆、旅店等行业场所进行排查整治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强化基层基础</w:t>
      </w:r>
      <w:r>
        <w:t xml:space="preserve">  </w:t>
      </w:r>
      <w:r>
        <w:t>严抓治安不漏管</w:t>
      </w:r>
    </w:p>
    <w:p w:rsidR="000D42BF" w:rsidRDefault="000D42BF" w:rsidP="000D42BF">
      <w:pPr>
        <w:ind w:firstLineChars="200" w:firstLine="420"/>
      </w:pPr>
      <w:r>
        <w:rPr>
          <w:rFonts w:hint="eastAsia"/>
        </w:rPr>
        <w:t>以专项行动为抓手，强化风险隐患排查整治，每日围绕社会治安、网络舆情、消防安全等开展风险隐患排查，登记造册、分析研判、果断应对，动态“清零”。紧盯宾馆旅店、出租房屋、台球厅等场所，确保规范合法经营，专项行动以来，共开展清查排查</w:t>
      </w:r>
      <w:r>
        <w:t>8</w:t>
      </w:r>
      <w:r>
        <w:t>次，检查行业场所</w:t>
      </w:r>
      <w:r>
        <w:t>300</w:t>
      </w:r>
      <w:r>
        <w:t>余家，重点部位</w:t>
      </w:r>
      <w:r>
        <w:t>31</w:t>
      </w:r>
      <w:r>
        <w:t>处。强化宣传教育，结合</w:t>
      </w:r>
      <w:r>
        <w:t>“</w:t>
      </w:r>
      <w:r>
        <w:t>一标三实</w:t>
      </w:r>
      <w:r>
        <w:t>”</w:t>
      </w:r>
      <w:r>
        <w:t>工作和</w:t>
      </w:r>
      <w:r>
        <w:t>“</w:t>
      </w:r>
      <w:r>
        <w:t>我为群众办实事</w:t>
      </w:r>
      <w:r>
        <w:t>”</w:t>
      </w:r>
      <w:r>
        <w:t>活动，加大</w:t>
      </w:r>
      <w:r>
        <w:t>“</w:t>
      </w:r>
      <w:r>
        <w:t>清风</w:t>
      </w:r>
      <w:r>
        <w:t>2023”</w:t>
      </w:r>
      <w:r>
        <w:t>专项行动宣传力度，通过入户宣讲、张贴通告、发放资料等形式，多形式多渠道多层次开展禁赌宣传，累计投入宣传警力</w:t>
      </w:r>
      <w:r>
        <w:t>300</w:t>
      </w:r>
      <w:r>
        <w:t>余人次，发放宣传资料</w:t>
      </w:r>
      <w:r>
        <w:t>1</w:t>
      </w:r>
      <w:r>
        <w:t>万余份，切实营造了全社会拒赌</w:t>
      </w:r>
      <w:r>
        <w:rPr>
          <w:rFonts w:hint="eastAsia"/>
        </w:rPr>
        <w:t>反赌良好氛围。</w:t>
      </w:r>
    </w:p>
    <w:p w:rsidR="000D42BF" w:rsidRDefault="000D42BF" w:rsidP="000D42BF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2023-02-24</w:t>
      </w:r>
    </w:p>
    <w:p w:rsidR="000D42BF" w:rsidRDefault="000D42BF" w:rsidP="00610E49">
      <w:pPr>
        <w:sectPr w:rsidR="000D42BF" w:rsidSect="00610E4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70D3" w:rsidRDefault="004070D3"/>
    <w:sectPr w:rsidR="004070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D42BF"/>
    <w:rsid w:val="000D42BF"/>
    <w:rsid w:val="00407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D42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0D42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2023-03-04T03:56:00Z</dcterms:created>
</cp:coreProperties>
</file>