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C5A" w:rsidRDefault="00054C5A" w:rsidP="009142E5">
      <w:pPr>
        <w:pStyle w:val="1"/>
      </w:pPr>
      <w:r w:rsidRPr="009142E5">
        <w:rPr>
          <w:rFonts w:hint="eastAsia"/>
        </w:rPr>
        <w:t>港媒：中国力推工业企业数字化转型</w:t>
      </w:r>
    </w:p>
    <w:p w:rsidR="00054C5A" w:rsidRDefault="00054C5A" w:rsidP="00054C5A">
      <w:pPr>
        <w:ind w:firstLineChars="200" w:firstLine="420"/>
      </w:pPr>
      <w:r>
        <w:t>3</w:t>
      </w:r>
      <w:r>
        <w:t>月</w:t>
      </w:r>
      <w:r>
        <w:t>11</w:t>
      </w:r>
      <w:r>
        <w:t>日报道，一些学者认为，传统行业的企业未来</w:t>
      </w:r>
      <w:r>
        <w:t>10</w:t>
      </w:r>
      <w:r>
        <w:t>年应该主动按照北京新宣布的</w:t>
      </w:r>
      <w:r>
        <w:t>“</w:t>
      </w:r>
      <w:r>
        <w:t>数字中国</w:t>
      </w:r>
      <w:r>
        <w:t>”</w:t>
      </w:r>
      <w:r>
        <w:t>计划走数字化道路。</w:t>
      </w:r>
    </w:p>
    <w:p w:rsidR="00054C5A" w:rsidRDefault="00054C5A" w:rsidP="00054C5A">
      <w:pPr>
        <w:ind w:firstLineChars="200" w:firstLine="420"/>
      </w:pPr>
      <w:r>
        <w:rPr>
          <w:rFonts w:hint="eastAsia"/>
        </w:rPr>
        <w:t>据报道，复旦大学经济学院院长张军在接受媒体采访时表示：“数字化转型已经成为一个潮流，不论是现代的服务业还是制造业，如果没有数实融合和数字化技术驱动，就会掉队。”</w:t>
      </w:r>
    </w:p>
    <w:p w:rsidR="00054C5A" w:rsidRDefault="00054C5A" w:rsidP="00054C5A">
      <w:pPr>
        <w:ind w:firstLineChars="200" w:firstLine="420"/>
      </w:pPr>
      <w:r>
        <w:rPr>
          <w:rFonts w:hint="eastAsia"/>
        </w:rPr>
        <w:t>他还表示，中国的消费互联网发展得好，是因为中国是一个超级消费市场，市场大、消费者规模大。但想从消费互联网转变到工业互联网没有那么容易，整个流程都要再造，业态、经营模式等等都要改变。</w:t>
      </w:r>
    </w:p>
    <w:p w:rsidR="00054C5A" w:rsidRDefault="00054C5A" w:rsidP="00054C5A">
      <w:pPr>
        <w:ind w:firstLineChars="200" w:firstLine="420"/>
      </w:pPr>
      <w:r>
        <w:rPr>
          <w:rFonts w:hint="eastAsia"/>
        </w:rPr>
        <w:t>据报道，统计数据显示，</w:t>
      </w:r>
      <w:r>
        <w:t>2022</w:t>
      </w:r>
      <w:r>
        <w:t>年，中国工业互联网产业增加值规模达到约</w:t>
      </w:r>
      <w:r>
        <w:t>4.45</w:t>
      </w:r>
      <w:r>
        <w:t>万亿元。</w:t>
      </w:r>
      <w:r>
        <w:t>2021</w:t>
      </w:r>
      <w:r>
        <w:t>年，中国具有一定行业、区域影响力的工业互联网平台超过</w:t>
      </w:r>
      <w:r>
        <w:t>100</w:t>
      </w:r>
      <w:r>
        <w:t>个，连接设备数量超过</w:t>
      </w:r>
      <w:r>
        <w:t>7600</w:t>
      </w:r>
      <w:r>
        <w:t>万台套。此外，</w:t>
      </w:r>
      <w:r>
        <w:t>2021</w:t>
      </w:r>
      <w:r>
        <w:t>年，中国</w:t>
      </w:r>
      <w:r>
        <w:t>“5G+</w:t>
      </w:r>
      <w:r>
        <w:t>工业互联网</w:t>
      </w:r>
      <w:r>
        <w:t>”</w:t>
      </w:r>
      <w:r>
        <w:t>在建项目超过</w:t>
      </w:r>
      <w:r>
        <w:t>1800</w:t>
      </w:r>
      <w:r>
        <w:t>个。</w:t>
      </w:r>
    </w:p>
    <w:p w:rsidR="00054C5A" w:rsidRDefault="00054C5A" w:rsidP="00054C5A">
      <w:pPr>
        <w:ind w:firstLineChars="200" w:firstLine="420"/>
      </w:pPr>
      <w:r>
        <w:rPr>
          <w:rFonts w:hint="eastAsia"/>
        </w:rPr>
        <w:t>报道称，中国此前发布的《数字中国建设整体布局规划》倡导数字经济和实体经济深度融合。近日，中国还打算组建新机构来实施相关计划。</w:t>
      </w:r>
    </w:p>
    <w:p w:rsidR="00054C5A" w:rsidRDefault="00054C5A" w:rsidP="00054C5A">
      <w:pPr>
        <w:ind w:firstLineChars="200" w:firstLine="420"/>
      </w:pPr>
      <w:r>
        <w:rPr>
          <w:rFonts w:hint="eastAsia"/>
        </w:rPr>
        <w:t>据报道，根据相关计划，中国将对各行业进行</w:t>
      </w:r>
      <w:r>
        <w:t>5G</w:t>
      </w:r>
      <w:r>
        <w:t>、物联网、超级计算和卫星技术等方面的升级，到</w:t>
      </w:r>
      <w:r>
        <w:t>2035</w:t>
      </w:r>
      <w:r>
        <w:t>年，数字化发展水平进入世界前列。</w:t>
      </w:r>
    </w:p>
    <w:p w:rsidR="00054C5A" w:rsidRDefault="00054C5A" w:rsidP="00054C5A">
      <w:pPr>
        <w:ind w:firstLineChars="200" w:firstLine="420"/>
      </w:pPr>
      <w:r>
        <w:rPr>
          <w:rFonts w:hint="eastAsia"/>
        </w:rPr>
        <w:t>报道称，浙江大学国际联合商学院数字经济与金融创新研究中心联席主任盘和林近期在一篇文章中表示，在推进网络强国和数字中国方面，</w:t>
      </w:r>
      <w:r>
        <w:t>2023</w:t>
      </w:r>
      <w:r>
        <w:t>年中国实现数字化转型将更多依赖国内金融、产业资本的支持。与此同时，互联网企业须把重点从企业对消费者的应用更多地转向企业对企业和企业对政府的应用。</w:t>
      </w:r>
    </w:p>
    <w:p w:rsidR="00054C5A" w:rsidRDefault="00054C5A" w:rsidP="00054C5A">
      <w:pPr>
        <w:ind w:firstLineChars="200" w:firstLine="420"/>
      </w:pPr>
      <w:r>
        <w:rPr>
          <w:rFonts w:hint="eastAsia"/>
        </w:rPr>
        <w:t>他表示，政府服务的数字化将刺激对云服务和大数据服务以及本地高端芯片的需求。此外，人工智能和虚拟现实技术也将帮助中国制造商更快地响应市场需求。</w:t>
      </w:r>
    </w:p>
    <w:p w:rsidR="00054C5A" w:rsidRDefault="00054C5A" w:rsidP="00054C5A">
      <w:pPr>
        <w:ind w:firstLineChars="200" w:firstLine="420"/>
      </w:pPr>
      <w:r>
        <w:rPr>
          <w:rFonts w:hint="eastAsia"/>
        </w:rPr>
        <w:t>报道称，这方面的成功范例包括</w:t>
      </w:r>
      <w:r>
        <w:t>2021</w:t>
      </w:r>
      <w:r>
        <w:t>年</w:t>
      </w:r>
      <w:r>
        <w:t>10</w:t>
      </w:r>
      <w:r>
        <w:t>月，华为技术有限公司和天津港集团等联合将天津港北疆港区</w:t>
      </w:r>
      <w:r>
        <w:t>C</w:t>
      </w:r>
      <w:r>
        <w:t>段智能化集装箱码头改造成全球首个</w:t>
      </w:r>
      <w:r>
        <w:t>“</w:t>
      </w:r>
      <w:r>
        <w:t>智慧零碳</w:t>
      </w:r>
      <w:r>
        <w:t>”</w:t>
      </w:r>
      <w:r>
        <w:t>码头。该码头利用中国的北斗导航系统引导机器人解锁集装箱，用远程控制的码头起重机将满载的集装箱从货船上起吊。</w:t>
      </w:r>
    </w:p>
    <w:p w:rsidR="00054C5A" w:rsidRDefault="00054C5A" w:rsidP="005B631F">
      <w:pPr>
        <w:sectPr w:rsidR="00054C5A" w:rsidSect="005B631F">
          <w:type w:val="continuous"/>
          <w:pgSz w:w="11906" w:h="16838"/>
          <w:pgMar w:top="1644" w:right="1236" w:bottom="1418" w:left="1814" w:header="851" w:footer="907" w:gutter="0"/>
          <w:pgNumType w:start="1"/>
          <w:cols w:space="720"/>
          <w:docGrid w:type="lines" w:linePitch="341" w:charSpace="2373"/>
        </w:sectPr>
      </w:pPr>
    </w:p>
    <w:p w:rsidR="00F1120B" w:rsidRDefault="00F1120B"/>
    <w:sectPr w:rsidR="00F112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C5A"/>
    <w:rsid w:val="00054C5A"/>
    <w:rsid w:val="00F112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4C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54C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711</Characters>
  <Application>Microsoft Office Word</Application>
  <DocSecurity>0</DocSecurity>
  <Lines>5</Lines>
  <Paragraphs>1</Paragraphs>
  <ScaleCrop>false</ScaleCrop>
  <Company>Microsoft</Company>
  <LinksUpToDate>false</LinksUpToDate>
  <CharactersWithSpaces>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2023-03-16T08:16:00Z</dcterms:created>
</cp:coreProperties>
</file>