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55F8" w:rsidRDefault="00A155F8">
      <w:pPr>
        <w:pStyle w:val="1"/>
      </w:pPr>
      <w:r>
        <w:rPr>
          <w:rFonts w:hint="eastAsia"/>
        </w:rPr>
        <w:t>对我区推进产业平台招商引资工作的调查与建议</w:t>
      </w:r>
    </w:p>
    <w:p w:rsidR="00A155F8" w:rsidRDefault="00A155F8">
      <w:pPr>
        <w:ind w:firstLine="420"/>
      </w:pPr>
      <w:r>
        <w:rPr>
          <w:rFonts w:hint="eastAsia"/>
        </w:rPr>
        <w:t>区人大财经委员会、常委会财经工委</w:t>
      </w:r>
    </w:p>
    <w:p w:rsidR="00A155F8" w:rsidRDefault="00A155F8">
      <w:pPr>
        <w:ind w:firstLine="420"/>
      </w:pPr>
      <w:r>
        <w:rPr>
          <w:rFonts w:hint="eastAsia"/>
        </w:rPr>
        <w:t>招商引资是柯桥经济高质量发展的强大引擎和主要动力，平台建设是招商引资的重要支撑和有力保障。根据区人大常委会年度工作安排，区人大财经委、常委会财经工委成员及部分区人大常委会委员在常委会沈祖卫副主任的带领下，围绕产业平台建设、产业项目布局、产业基金运作、招商体制机制等方面内容，就我区推进产业平台招商工作进行调研，现将调研情况综合如下，供参阅。</w:t>
      </w:r>
    </w:p>
    <w:p w:rsidR="00A155F8" w:rsidRDefault="00A155F8">
      <w:pPr>
        <w:ind w:firstLine="420"/>
      </w:pPr>
      <w:r>
        <w:rPr>
          <w:rFonts w:hint="eastAsia"/>
        </w:rPr>
        <w:t>一、平台建设及招商引资情况</w:t>
      </w:r>
    </w:p>
    <w:p w:rsidR="00A155F8" w:rsidRDefault="00A155F8">
      <w:pPr>
        <w:ind w:firstLine="420"/>
      </w:pPr>
      <w:r>
        <w:rPr>
          <w:rFonts w:hint="eastAsia"/>
        </w:rPr>
        <w:t>（一）产业平台搭建成形，规划高屋建瓴。目前全区设有绍兴市兰亭文化旅游度假区、浙江绍兴人才创业园（绍兴金柯桥科技城）、绍兴柯桥经济技术开发区、鉴湖旅游度假区等招商产业平台，杭绍临空经济一体发展示范区绍兴片区已获省批准，正在抓紧筹建中。招商产业平台覆盖全区</w:t>
      </w:r>
      <w:r>
        <w:rPr>
          <w:rFonts w:hint="eastAsia"/>
        </w:rPr>
        <w:t>13</w:t>
      </w:r>
      <w:r>
        <w:rPr>
          <w:rFonts w:hint="eastAsia"/>
        </w:rPr>
        <w:t>个镇街，以平台抓项目招商，以招商促平台建设的机制和氛围已经形成，镇（街道）开发区权责清晰、职能明确、各司其职，体制机制逐步优化，初显成效。</w:t>
      </w:r>
    </w:p>
    <w:p w:rsidR="00A155F8" w:rsidRDefault="00A155F8">
      <w:pPr>
        <w:ind w:firstLine="420"/>
      </w:pPr>
      <w:r>
        <w:rPr>
          <w:rFonts w:hint="eastAsia"/>
        </w:rPr>
        <w:t>（二）规划布局各具特色，招商重点突出。各平台根据自身产业定位、区域位置和资源优势，招商重点各有不同，实行差别化发展。柯桥经开区一手抓传统产业改造提升，一手抓新兴产业快速发展，重点招引发展现代纺织、生命健康、智能装备、泛半导体产业类项目；金柯桥科技城锚定引聚人才，重点引进科技类以及科创平台、总部经济类项目；临空示范区围绕枢纽服务，积极打造时尚产业、生命健康、高端智造、新一代信息技术等四大临空指向性产业；兰亭文化旅游度假区和鉴湖旅游度假区重点招引发展文化旅游、运动休闲类项目。各平台产业规模日益发展，集聚效应正逐步形成。</w:t>
      </w:r>
    </w:p>
    <w:p w:rsidR="00A155F8" w:rsidRDefault="00A155F8">
      <w:pPr>
        <w:ind w:firstLine="420"/>
      </w:pPr>
      <w:r>
        <w:rPr>
          <w:rFonts w:hint="eastAsia"/>
        </w:rPr>
        <w:t>（三）平台招商项目为王，优势逐渐显现。</w:t>
      </w:r>
      <w:r>
        <w:rPr>
          <w:rFonts w:hint="eastAsia"/>
        </w:rPr>
        <w:t>2019</w:t>
      </w:r>
      <w:r>
        <w:rPr>
          <w:rFonts w:hint="eastAsia"/>
        </w:rPr>
        <w:t>年以来，各招商产业平台紧扣“</w:t>
      </w:r>
      <w:r>
        <w:rPr>
          <w:rFonts w:hint="eastAsia"/>
        </w:rPr>
        <w:t>5+3+X</w:t>
      </w:r>
      <w:r>
        <w:rPr>
          <w:rFonts w:hint="eastAsia"/>
        </w:rPr>
        <w:t>”现代产业体系建设要求，坚持“大平台、大招商、招大商”，累计引进各类招商产业项目</w:t>
      </w:r>
      <w:r>
        <w:rPr>
          <w:rFonts w:hint="eastAsia"/>
        </w:rPr>
        <w:t>74</w:t>
      </w:r>
      <w:r>
        <w:rPr>
          <w:rFonts w:hint="eastAsia"/>
        </w:rPr>
        <w:t>个，计划总投资达</w:t>
      </w:r>
      <w:r>
        <w:rPr>
          <w:rFonts w:hint="eastAsia"/>
        </w:rPr>
        <w:t>1138.25</w:t>
      </w:r>
      <w:r>
        <w:rPr>
          <w:rFonts w:hint="eastAsia"/>
        </w:rPr>
        <w:t>亿元，分别占全区项目引进总数</w:t>
      </w:r>
      <w:r>
        <w:rPr>
          <w:rFonts w:hint="eastAsia"/>
        </w:rPr>
        <w:t>144</w:t>
      </w:r>
      <w:r>
        <w:rPr>
          <w:rFonts w:hint="eastAsia"/>
        </w:rPr>
        <w:t>个的</w:t>
      </w:r>
      <w:r>
        <w:rPr>
          <w:rFonts w:hint="eastAsia"/>
        </w:rPr>
        <w:t>51.4%</w:t>
      </w:r>
      <w:r>
        <w:rPr>
          <w:rFonts w:hint="eastAsia"/>
        </w:rPr>
        <w:t>、总计划投资额</w:t>
      </w:r>
      <w:r>
        <w:rPr>
          <w:rFonts w:hint="eastAsia"/>
        </w:rPr>
        <w:t>1868.495</w:t>
      </w:r>
      <w:r>
        <w:rPr>
          <w:rFonts w:hint="eastAsia"/>
        </w:rPr>
        <w:t>亿元的</w:t>
      </w:r>
      <w:r>
        <w:rPr>
          <w:rFonts w:hint="eastAsia"/>
        </w:rPr>
        <w:t>60%</w:t>
      </w:r>
      <w:r>
        <w:rPr>
          <w:rFonts w:hint="eastAsia"/>
        </w:rPr>
        <w:t>。其中</w:t>
      </w:r>
      <w:r>
        <w:rPr>
          <w:rFonts w:hint="eastAsia"/>
        </w:rPr>
        <w:t>10</w:t>
      </w:r>
      <w:r>
        <w:rPr>
          <w:rFonts w:hint="eastAsia"/>
        </w:rPr>
        <w:t>亿元以上项目</w:t>
      </w:r>
      <w:r>
        <w:rPr>
          <w:rFonts w:hint="eastAsia"/>
        </w:rPr>
        <w:t>20</w:t>
      </w:r>
      <w:r>
        <w:rPr>
          <w:rFonts w:hint="eastAsia"/>
        </w:rPr>
        <w:t>个，包括</w:t>
      </w:r>
      <w:r>
        <w:rPr>
          <w:rFonts w:hint="eastAsia"/>
        </w:rPr>
        <w:t>100</w:t>
      </w:r>
      <w:r>
        <w:rPr>
          <w:rFonts w:hint="eastAsia"/>
        </w:rPr>
        <w:t>亿元以上</w:t>
      </w:r>
      <w:r>
        <w:rPr>
          <w:rFonts w:hint="eastAsia"/>
        </w:rPr>
        <w:t>4</w:t>
      </w:r>
      <w:r>
        <w:rPr>
          <w:rFonts w:hint="eastAsia"/>
        </w:rPr>
        <w:t>个、</w:t>
      </w:r>
      <w:r>
        <w:rPr>
          <w:rFonts w:hint="eastAsia"/>
        </w:rPr>
        <w:t>20</w:t>
      </w:r>
      <w:r>
        <w:rPr>
          <w:rFonts w:hint="eastAsia"/>
        </w:rPr>
        <w:t>—</w:t>
      </w:r>
      <w:r>
        <w:rPr>
          <w:rFonts w:hint="eastAsia"/>
        </w:rPr>
        <w:t>50</w:t>
      </w:r>
      <w:r>
        <w:rPr>
          <w:rFonts w:hint="eastAsia"/>
        </w:rPr>
        <w:t>亿元</w:t>
      </w:r>
      <w:r>
        <w:rPr>
          <w:rFonts w:hint="eastAsia"/>
        </w:rPr>
        <w:t>9</w:t>
      </w:r>
      <w:r>
        <w:rPr>
          <w:rFonts w:hint="eastAsia"/>
        </w:rPr>
        <w:t>个、</w:t>
      </w:r>
      <w:r>
        <w:rPr>
          <w:rFonts w:hint="eastAsia"/>
        </w:rPr>
        <w:t>50</w:t>
      </w:r>
      <w:r>
        <w:rPr>
          <w:rFonts w:hint="eastAsia"/>
        </w:rPr>
        <w:t>亿元</w:t>
      </w:r>
      <w:r>
        <w:rPr>
          <w:rFonts w:hint="eastAsia"/>
        </w:rPr>
        <w:t>3</w:t>
      </w:r>
      <w:r>
        <w:rPr>
          <w:rFonts w:hint="eastAsia"/>
        </w:rPr>
        <w:t>个。产业平台已成为我区招商引资的主战场，超百亿元特大项目均由平台引进，项目的数量、投资额比重逐年增加。</w:t>
      </w:r>
    </w:p>
    <w:p w:rsidR="00A155F8" w:rsidRDefault="00A155F8">
      <w:pPr>
        <w:ind w:firstLine="420"/>
      </w:pPr>
      <w:r>
        <w:rPr>
          <w:rFonts w:hint="eastAsia"/>
        </w:rPr>
        <w:t>二、存在的主要问题和不足</w:t>
      </w:r>
    </w:p>
    <w:p w:rsidR="00A155F8" w:rsidRDefault="00A155F8">
      <w:pPr>
        <w:ind w:firstLine="420"/>
      </w:pPr>
      <w:r>
        <w:rPr>
          <w:rFonts w:hint="eastAsia"/>
        </w:rPr>
        <w:t>（一）产业平台招商的体制机制有待健全。在项目决策方面，目前我区实施的重大项目决策制度较严谨，预审流程复杂，从信息的收集、材料的准备、项目的初审到最后项目上会决策、反馈需要一定时间，开发区平台等待决策时间较长，在信息时代商机瞬息万变的形势下，往往容易错失优质项目或错失最佳投资时机。在招商政策方面，我区在抓信息、比环境、争项目上，虽然也出台了一些优惠政策，但与周边地区相比，力度不大，优势不明显，对企业也缺乏吸引力，在土地价格和税收优惠政策等方面更明显。在管理措施方面，部分行政管理权限未进一步下放，如柯桥经开区尚未设自然资源分所，办理项目土地供应流程较长，影响项目落地进程，而且约束机制也需健全，针对投资者承诺的投资项目强度和进度与实际规模差异较大等问题，后续监管和评估体系还不健全，没有行之有效的约束机制和办法措施。</w:t>
      </w:r>
    </w:p>
    <w:p w:rsidR="00A155F8" w:rsidRDefault="00A155F8">
      <w:pPr>
        <w:ind w:firstLine="420"/>
      </w:pPr>
      <w:r>
        <w:rPr>
          <w:rFonts w:hint="eastAsia"/>
        </w:rPr>
        <w:t>（二）产业平台招商的要素制约有待破解。表现为：土地资源紧张。受土地规划和用地指标双重制约，目前土地供应短缺，存量土地严重不足，且土地出让流程多、摘牌慢、周期长，项目</w:t>
      </w:r>
      <w:r>
        <w:rPr>
          <w:rFonts w:hint="eastAsia"/>
        </w:rPr>
        <w:lastRenderedPageBreak/>
        <w:t>等土地的现象普遍，土地出让价格也逐年攀升。部分项目由于土地指标紧缺未能落户，个别项目甚至还出现因审批指标未落实而中断施工现象，影响了项目落地进度和营商环境。经开区签约待落户项目总体所需土地约</w:t>
      </w:r>
      <w:r>
        <w:rPr>
          <w:rFonts w:hint="eastAsia"/>
        </w:rPr>
        <w:t>2500</w:t>
      </w:r>
      <w:r>
        <w:rPr>
          <w:rFonts w:hint="eastAsia"/>
        </w:rPr>
        <w:t>亩，缺口较大；临空示范区现有可用土地仅</w:t>
      </w:r>
      <w:r>
        <w:rPr>
          <w:rFonts w:hint="eastAsia"/>
        </w:rPr>
        <w:t>300</w:t>
      </w:r>
      <w:r>
        <w:rPr>
          <w:rFonts w:hint="eastAsia"/>
        </w:rPr>
        <w:t>亩。能耗指标也受政策限制。在碳达峰、碳中和的大背景下，新建项目能耗指标不足，很多项目因没有能耗指标无法立项，诸如华天新材料等大项目能耗问题有待解决落实。另外，人才瓶颈有待突破。一方面沪杭人才溢出效应还不明显，对高新技术人才、高级管理人才的吸引力还不够。另一方面专业化招商人才缺少，各个平台虽都设有招商处，但人员配备不足，部分还兼有其他工作任务。且随着引进项目的专业化程度不断提高，对招商干部的专业知识和能力水平有更高的要求，全区缺少一支懂项目、懂经济、懂国家产业政策及相关的法律法规的专业队伍。</w:t>
      </w:r>
    </w:p>
    <w:p w:rsidR="00A155F8" w:rsidRDefault="00A155F8">
      <w:pPr>
        <w:ind w:firstLine="420"/>
      </w:pPr>
      <w:r>
        <w:rPr>
          <w:rFonts w:hint="eastAsia"/>
        </w:rPr>
        <w:t>（三）政府性基金的杠杆作用未充分发挥。产业基金的招商机制有待完善。目前尚未制定出台有关基金招商的指导性文件，产业基金和各平台没有形成高效的招商联动机制，存在招商信息不够通达、职能划分不够明确、招商流程不够规范、协同招商不够有效等问题，亟须以文件形式明确。基金的杠杆作用也需加大。在引入优质产业、助推全区经济强链补链延链上发挥的还不够，基金投入力度不大较为谨慎，容错率低，撬动作用还不明显。项目风险控制管理要加强。目前我区产业基金还没有专业化投资风控部门，对风险地把控主要依赖于省金控公司的风控部门，以及产基办、投资顾问和母基金管理人对项目和基金的判断和初步尽调，态度、角度和立场有所不同。同时，产业基金在项目评估、投后管理、风险控制等方面都需要高层次专业性人才，现有人员配备远远跟不上产业基金发展的需求。</w:t>
      </w:r>
    </w:p>
    <w:p w:rsidR="00A155F8" w:rsidRDefault="00A155F8">
      <w:pPr>
        <w:ind w:firstLine="420"/>
      </w:pPr>
      <w:r>
        <w:rPr>
          <w:rFonts w:hint="eastAsia"/>
        </w:rPr>
        <w:t>三、几项建议和意见</w:t>
      </w:r>
    </w:p>
    <w:p w:rsidR="00A155F8" w:rsidRDefault="00A155F8">
      <w:pPr>
        <w:ind w:firstLine="420"/>
      </w:pPr>
      <w:r>
        <w:rPr>
          <w:rFonts w:hint="eastAsia"/>
        </w:rPr>
        <w:t>应对产业平台招商引资新形势、新要求，必须用创新的思维和举措抢抓产业发展机遇，全力营造招商引资浓厚氛围，切实推进招商引资工作上新台阶。为此提出如下建议意见：</w:t>
      </w:r>
    </w:p>
    <w:p w:rsidR="00A155F8" w:rsidRDefault="00A155F8">
      <w:pPr>
        <w:ind w:firstLine="420"/>
      </w:pPr>
      <w:r>
        <w:rPr>
          <w:rFonts w:hint="eastAsia"/>
        </w:rPr>
        <w:t>（一）提高认识强担当，健全产业平台招商体制机制。要提高认识，抢抓时代发展机遇。牢固树立“招商决定发展、招商决定未来”的理念，狠抓项目谋划建设，切实肩负起“领跑竞跑”的时代重任，以改革创新精神冲破一切阻碍招商引资的陈腐观念，革除一切影响招商引资的体制弊端，调动一切招商引资积极因素，形成浓厚的招商氛围。要筑巢引凤，加快平台建设。加强产业平台顶层设计，按照“</w:t>
      </w:r>
      <w:r>
        <w:rPr>
          <w:rFonts w:hint="eastAsia"/>
        </w:rPr>
        <w:t>2+7+N</w:t>
      </w:r>
      <w:r>
        <w:rPr>
          <w:rFonts w:hint="eastAsia"/>
        </w:rPr>
        <w:t>”开发区平台发展战略要求，将产业规划和平台的发展布局进行通盘考虑、上下衔接，站在更高的层次上对现有平台从基础设施建设、信息平台打造、服务环境的优化、优质项目的引进等方面高起点规划，注重各具特色、可持续发展的产业平台功能定位，形成产业集聚规模效应，提高开发区平台基础设施配套能力，不断提升各平台的承载力和吸引力。要充分授权，提高决策效率。进一步下放行政审批权限，重点解决放权不同步、不协调、不到位等问题。健全体制机制，在一定范围内给予招商平台更多的决策权和自主权，抢抓机遇，在充分调研的前提下，不错失优质项目。要加强招商人员的专业性。健全招商人才选拔、使用、培训、考核机制，有计划地选拔一批具有相关专业背景、积累一定实战经验的实用型专业招商人才，尽快形成一支业务精、政策水平高、谈判能力强的专业招商引资队伍。同时加强与招商中介机构的合作，不断提高招商的专业化和精细化水平。</w:t>
      </w:r>
    </w:p>
    <w:p w:rsidR="00A155F8" w:rsidRDefault="00A155F8">
      <w:pPr>
        <w:ind w:firstLine="420"/>
      </w:pPr>
      <w:r>
        <w:rPr>
          <w:rFonts w:hint="eastAsia"/>
        </w:rPr>
        <w:t>（二）破解难题谋发展，强化产业平台招商要素保障。要突破土地要素制约。积极争取土地指标，加强对闲置土地的排查，盘活低效厂房和土地，加大“腾笼换鸟”“二次开发”力度，拓宽存量土地盘活路径，引导土地资源合理流动和高效配置。提高土地利用效率，探索土地退出回购机制。把好企业用地审核关，防止企业过度批地，甚至占地圈地，造成土地资源浪费。要招才引智聚才爱才。进一步创新人才引进方式，拓宽人才引进渠道，增强人才政策的灵活性，针对重点产业方向，开展人才集聚和产业引领。在积极引进领军人才的同时，重视骨干人才引育工作，打造人才团队，凸显人才集聚效应。加强与知名高校、科研院所合作交流，加快科技创新研究院落地，以人才促招商、以项目聚人才。要发挥产业基金的杠杆作用。由区产基办研究制定产业基金管理办法，健全完善产业基金和国有平台招商联动机制，对信息分享、职能划分、流程规范、联席会商等方面内容予以明确。建议产业基金与国有平台共同设立招商基金，与市场化子基金搭配运作，形成产业基金和国有平台协同发力的招商格局。积极搭建资本对接平台，举办项目对接会等，促进资本与实体项目对接。加大已投基金督查力度，实施对基金募投管退的全流程监管，对基金和项目的协议进行一次全面梳理，重点对退出条款、完成返投等事项进行“回头看”，责令管理人限期及时整改未达预期的基金项目。</w:t>
      </w:r>
    </w:p>
    <w:p w:rsidR="00A155F8" w:rsidRDefault="00A155F8">
      <w:pPr>
        <w:ind w:firstLine="420"/>
      </w:pPr>
      <w:r>
        <w:rPr>
          <w:rFonts w:hint="eastAsia"/>
        </w:rPr>
        <w:t>（三）引优育强抓重点，发挥产业平台招商资源优势。要结合产业优势引优选资。以传统产业为锚点，以“强链、补链、延链”为重点，突出产业链招商，围绕打造世界级现代纺织产业集群，加快引进新材料、高端织造、创意设计等优质项目，提高纺织印染产品附加值，促进新旧动能转换。要既招大引强又选精选优。瞄准世界</w:t>
      </w:r>
      <w:r>
        <w:rPr>
          <w:rFonts w:hint="eastAsia"/>
        </w:rPr>
        <w:t>500</w:t>
      </w:r>
      <w:r>
        <w:rPr>
          <w:rFonts w:hint="eastAsia"/>
        </w:rPr>
        <w:t>强、跨国知名企业、行业领军企业、央企国企、总部型企业、上市公司等重点目标，引进更多投资规模大、带动潜力足的旗舰型、地标型项目。争取大企业大集团到我区注册公司，设立总部、分部，发挥总部经济的产业乘数效应、消费聚集效应、资本膨胀效应。同时要重视引育“小而精”的创新型企业、“独角兽”企业、小巨人企业，对项目前景好、技术含量高、占地面积不大的战略性新兴产业在土地政策和产业基金方面给予高度支持。要突出各平台的产业招商重点。围绕“</w:t>
      </w:r>
      <w:r>
        <w:rPr>
          <w:rFonts w:hint="eastAsia"/>
        </w:rPr>
        <w:t>5+3+X</w:t>
      </w:r>
      <w:r>
        <w:rPr>
          <w:rFonts w:hint="eastAsia"/>
        </w:rPr>
        <w:t>”产业发展导向，以制造业优质项目为重点，由各平台结合自身优势，差别化招商，形成产业集聚效应。重点要聚焦数字经济和人工智能产业，招引一批新材料、生命健康、泛半导体、智能制造、高端装备等现代产业项目，加大平台经济、现代金融等税源性项目招商力度。</w:t>
      </w:r>
    </w:p>
    <w:p w:rsidR="00A155F8" w:rsidRDefault="00A155F8">
      <w:pPr>
        <w:ind w:firstLine="420"/>
      </w:pPr>
      <w:r>
        <w:rPr>
          <w:rFonts w:hint="eastAsia"/>
        </w:rPr>
        <w:t>（四）强化服务营氛围，确保产业平台招商项目落地。要进一步优化政务环境。加强对招商主体的服务和指导，及时研究和解决企业遇到的实际问题，营造高效、务实的政务环境。各相关职能部门要保障投资项目所需的路网、水、电、燃气、排水排污等配套设施建设，为企业解决融资难、招工难等问题，加强平台开发区学校、医院、银行、休闲娱乐等服务机构建设，做好外来投资人员住房、落户、子女上学、医疗保障等服务工作，营造亲商安商的社会氛围和投资环境。要进一步强化招商项目建成落地。对招商项目全过程进行跟踪服务，实施意向项目抓洽谈、洽谈项目抓签约、签约项目抓开工、开工项目抓建设、建设项目抓投产、投产项目抓效益，实现招商引资工作环环相扣、步步紧跟。加强重点招商项目的督导服务，对项目全生命周期管理闭环管理。狠抓供地后早开工、开工后促施工、施工中抓进度等关键节点的督查工作，确保招商引资项目的履约率，全力保障项目建设按期完成投产。要建立健全容错免责机制。区别对待依法依规为企业办事情与牟取私利行为、官商之间正常往来与利益输送行为、无意过失与失职渎职行为。对在招商引资过程中出于公心、没有为个人或他人牟取私利，因法律法规未明令禁止、政策界限不明确等情形而出现工作失误或过失的，应坚持宽严相济原则，给予容错免责。</w:t>
      </w:r>
    </w:p>
    <w:p w:rsidR="00A155F8" w:rsidRDefault="00A155F8">
      <w:pPr>
        <w:ind w:firstLine="420"/>
        <w:jc w:val="right"/>
      </w:pPr>
      <w:r>
        <w:rPr>
          <w:rFonts w:hint="eastAsia"/>
        </w:rPr>
        <w:t>柯桥区人大</w:t>
      </w:r>
      <w:r>
        <w:rPr>
          <w:rFonts w:hint="eastAsia"/>
        </w:rPr>
        <w:t>2022-01-19</w:t>
      </w:r>
    </w:p>
    <w:p w:rsidR="00A155F8" w:rsidRDefault="00A155F8" w:rsidP="00765072">
      <w:pPr>
        <w:sectPr w:rsidR="00A155F8" w:rsidSect="00765072">
          <w:type w:val="continuous"/>
          <w:pgSz w:w="11906" w:h="16838"/>
          <w:pgMar w:top="1644" w:right="1236" w:bottom="1418" w:left="1814" w:header="851" w:footer="907" w:gutter="0"/>
          <w:pgNumType w:start="1"/>
          <w:cols w:space="720"/>
          <w:docGrid w:type="lines" w:linePitch="341" w:charSpace="2373"/>
        </w:sectPr>
      </w:pPr>
    </w:p>
    <w:p w:rsidR="00A71F90" w:rsidRDefault="00A71F90"/>
    <w:sectPr w:rsidR="00A71F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155F8"/>
    <w:rsid w:val="00A155F8"/>
    <w:rsid w:val="00A71F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55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155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650</Words>
  <Characters>3707</Characters>
  <Application>Microsoft Office Word</Application>
  <DocSecurity>0</DocSecurity>
  <Lines>30</Lines>
  <Paragraphs>8</Paragraphs>
  <ScaleCrop>false</ScaleCrop>
  <Company>微软中国</Company>
  <LinksUpToDate>false</LinksUpToDate>
  <CharactersWithSpaces>4349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2023-02-24T03:38:00Z</dcterms:created>
</cp:coreProperties>
</file>