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32E2" w:rsidRDefault="00F332E2">
      <w:pPr>
        <w:pStyle w:val="1"/>
      </w:pPr>
      <w:r>
        <w:rPr>
          <w:rFonts w:hint="eastAsia"/>
        </w:rPr>
        <w:t>海兴县税务局2022年上半年工作总结</w:t>
      </w:r>
    </w:p>
    <w:p w:rsidR="00F332E2" w:rsidRDefault="00F332E2">
      <w:pPr>
        <w:ind w:firstLine="420"/>
      </w:pPr>
      <w:r>
        <w:rPr>
          <w:rFonts w:hint="eastAsia"/>
        </w:rPr>
        <w:t>今年上半年，我局在县委县政府和市局的坚强领导下，按照县第十次党代会、县委十届二次全会和全县三级干部大会确定的任务目标，迎难而上、积极作为，谋划“固本强基、创新精进”的基本遵循，提出“把严的主基调贯穿税收工作全过程”的实干路径，明确抓政治、抓改革、抓服务、抓绩效、抓监督的“五抓”思路，脚踏实地、恒进笃行，倾力推动新征程上海兴税收事业开新局、谱新篇。我局相继荣获实绩突出单位、沧州市“三八”红旗集体，留抵退税等工作得到地方党政领导肯定批示。</w:t>
      </w:r>
    </w:p>
    <w:p w:rsidR="00F332E2" w:rsidRDefault="00F332E2">
      <w:pPr>
        <w:ind w:firstLine="420"/>
      </w:pPr>
      <w:r>
        <w:rPr>
          <w:rFonts w:hint="eastAsia"/>
        </w:rPr>
        <w:t>一、尽主业之责，依法科学组织收入</w:t>
      </w:r>
    </w:p>
    <w:p w:rsidR="00F332E2" w:rsidRDefault="00F332E2">
      <w:pPr>
        <w:ind w:firstLine="420"/>
      </w:pPr>
      <w:r>
        <w:rPr>
          <w:rFonts w:hint="eastAsia"/>
        </w:rPr>
        <w:t>面对需求收缩、供给冲击、预期转弱三重压力，我局牢固树立并践行“形势越严峻越要坚持组织收入原则”的理念，认真落实总局“平稳、协调、安全、持续”组织收入原则，始终把依法依规贯穿于组织收入全过程，既做到了税收分析、加强调度以及精细管理的统筹集成，又实现了该收的收到位、该减的减到位、该退的退到位、该缓的缓到位，坚决不收过头税费，压实了收入质量，为地方经济稳中求进贡献了税务力量。</w:t>
      </w:r>
    </w:p>
    <w:p w:rsidR="00F332E2" w:rsidRDefault="00F332E2">
      <w:pPr>
        <w:ind w:firstLine="420"/>
      </w:pPr>
      <w:r>
        <w:rPr>
          <w:rFonts w:hint="eastAsia"/>
        </w:rPr>
        <w:t>二、举全局之力，坚决提升纳税人满意度</w:t>
      </w:r>
    </w:p>
    <w:p w:rsidR="00F332E2" w:rsidRDefault="00F332E2">
      <w:pPr>
        <w:ind w:firstLine="420"/>
      </w:pPr>
      <w:r>
        <w:rPr>
          <w:rFonts w:hint="eastAsia"/>
        </w:rPr>
        <w:t>以巩固党史学习教育成果来统一思想，以让纳税人缴费人“十分满意”为不懈追求，举全局之力、尽全员之责，补短板、强弱项，重实干、增实效，确保打赢提升纳税人满意度攻坚战。一是建立组织压实责任，破解“谁来干”夯基础。成立提升纳税人满意度优化营商环境工作领导小组，组建提升纳税人满意度工作专班，制定提升纳税人满意度优化营商环境工作任务分解表，将</w:t>
      </w:r>
      <w:r>
        <w:rPr>
          <w:rFonts w:hint="eastAsia"/>
        </w:rPr>
        <w:t>14</w:t>
      </w:r>
      <w:r>
        <w:rPr>
          <w:rFonts w:hint="eastAsia"/>
        </w:rPr>
        <w:t>项分解任务</w:t>
      </w:r>
      <w:r>
        <w:rPr>
          <w:rFonts w:hint="eastAsia"/>
        </w:rPr>
        <w:t>41</w:t>
      </w:r>
      <w:r>
        <w:rPr>
          <w:rFonts w:hint="eastAsia"/>
        </w:rPr>
        <w:t>条具体措施，逐一明确责任单位、责任人和完成时限等事项，定期晒帐、到点交帐，引导每名税务干部盯着目标干，奋力永争先。二是对照清单做实工作，破解“怎么干”提质效。运用系统筛选企业名单，按纳税额度从高到低依次排序，</w:t>
      </w:r>
      <w:r>
        <w:rPr>
          <w:rFonts w:hint="eastAsia"/>
        </w:rPr>
        <w:t>5</w:t>
      </w:r>
      <w:r>
        <w:rPr>
          <w:rFonts w:hint="eastAsia"/>
        </w:rPr>
        <w:t>个税务分局各自对号入座，对企业办税人员、财务负责人、法定代表人身份信息和电话信息分别进行核查，做到了基础登记信息核查推进有序。</w:t>
      </w:r>
      <w:r>
        <w:rPr>
          <w:rFonts w:hint="eastAsia"/>
        </w:rPr>
        <w:t>5</w:t>
      </w:r>
      <w:r>
        <w:rPr>
          <w:rFonts w:hint="eastAsia"/>
        </w:rPr>
        <w:t>个税务分局主动放弃清明、五一及周六日休息时间，通过电话、上门服务等方式，实现了对纳税人的两轮电话走访和一轮上门走访，赢得了纳税人的理解和支持，做到了纳税人走访全覆盖。设立“微”客服，依托“税务管家”团队，累计向益奥特体育器材有限公司等企业精准推送政策和服务，帮助企业纾困解难，做到了搭建税企沟通机制走心。三是强化激励严实考核，破解“干得怎么样”聚合力。严格落实政务服务“好差评”制度，形成“开展评价</w:t>
      </w:r>
      <w:r>
        <w:rPr>
          <w:rFonts w:hint="eastAsia"/>
        </w:rPr>
        <w:t>-</w:t>
      </w:r>
      <w:r>
        <w:rPr>
          <w:rFonts w:hint="eastAsia"/>
        </w:rPr>
        <w:t>差评处理</w:t>
      </w:r>
      <w:r>
        <w:rPr>
          <w:rFonts w:hint="eastAsia"/>
        </w:rPr>
        <w:t>-</w:t>
      </w:r>
      <w:r>
        <w:rPr>
          <w:rFonts w:hint="eastAsia"/>
        </w:rPr>
        <w:t>结果应用”的闭环管理模式，及时归纳出现的堵点和难点，研判纳税人诉求和期盼，“一企一策”优服务增获得。实行一周一调度、一月一考核，公开晒账单，考核结果和绩效考核、评先选优等直接挂钩，以严格的考核把全体税务干部的潜能挖出来、工作激情释放出来，确保纳税人满意度大幅提升。</w:t>
      </w:r>
    </w:p>
    <w:p w:rsidR="00F332E2" w:rsidRDefault="00F332E2">
      <w:pPr>
        <w:ind w:firstLine="420"/>
      </w:pPr>
      <w:r>
        <w:rPr>
          <w:rFonts w:hint="eastAsia"/>
        </w:rPr>
        <w:t>三、务大局之势，扎实做好留抵退税</w:t>
      </w:r>
    </w:p>
    <w:p w:rsidR="00F332E2" w:rsidRDefault="00F332E2">
      <w:pPr>
        <w:ind w:firstLine="420"/>
      </w:pPr>
      <w:r>
        <w:rPr>
          <w:rFonts w:hint="eastAsia"/>
        </w:rPr>
        <w:t>坚持把留抵退税作为政治任务摆上首位，紧紧围绕“早退、快退、退稳、退准”，秉决战之心、聚尽锐之力、以必胜之勇，不折不扣抓好政策落实，以税务力量稳定经济大盘。一是倾心夯基础。及时成立增值税留抵退税专项工作组，制定增值税期末留抵退税工作预案，向县委县政府专题汇报增值税留抵退税准备进展情况，赢得地方党政领导的理解支持。二是倾力重实干。财政部、国家税务总局关于进一步加大增值税期末留抵退税政策实施力度的公告及征管事项公告发布后，累计开展“云”端学习、在线讨论</w:t>
      </w:r>
      <w:r>
        <w:rPr>
          <w:rFonts w:hint="eastAsia"/>
        </w:rPr>
        <w:t>23</w:t>
      </w:r>
      <w:r>
        <w:rPr>
          <w:rFonts w:hint="eastAsia"/>
        </w:rPr>
        <w:t>次，特别对提前退付、存量退税、小微企业退税比例提高至</w:t>
      </w:r>
      <w:r>
        <w:rPr>
          <w:rFonts w:hint="eastAsia"/>
        </w:rPr>
        <w:lastRenderedPageBreak/>
        <w:t>100%</w:t>
      </w:r>
      <w:r>
        <w:rPr>
          <w:rFonts w:hint="eastAsia"/>
        </w:rPr>
        <w:t>等新政特点，线上进行深度解读，指尖开展互动交流，第一时间吃透政策，掌握要义，利于工作。精准辅导，直达企业。</w:t>
      </w:r>
      <w:r>
        <w:rPr>
          <w:rFonts w:hint="eastAsia"/>
        </w:rPr>
        <w:t>3</w:t>
      </w:r>
      <w:r>
        <w:rPr>
          <w:rFonts w:hint="eastAsia"/>
        </w:rPr>
        <w:t>月</w:t>
      </w:r>
      <w:r>
        <w:rPr>
          <w:rFonts w:hint="eastAsia"/>
        </w:rPr>
        <w:t>21</w:t>
      </w:r>
      <w:r>
        <w:rPr>
          <w:rFonts w:hint="eastAsia"/>
        </w:rPr>
        <w:t>日，《财政部</w:t>
      </w:r>
      <w:r>
        <w:rPr>
          <w:rFonts w:hint="eastAsia"/>
        </w:rPr>
        <w:t xml:space="preserve"> </w:t>
      </w:r>
      <w:r>
        <w:rPr>
          <w:rFonts w:hint="eastAsia"/>
        </w:rPr>
        <w:t>税务总局关于进一步加大增值税期末留抵退税政策实施力度的公告》和《国家税务总局关于进一步加大增值税期末留抵退税政策实施力度有关征管事项的公告》及解读先后出台，依托电子税务局，向企业点对点推送政策、开展辅导，发挥税务管家团队优势，重点讲解会计处理、申报注意事项、退税申请样表等内容，切实把税收优惠政策交给企业。科学引导，把握主动。按照优先安排小微企业的原则，制定《分类分批引导工作方案》和《分类分批分期计划台账》，合理分配纳税人办理留抵退税时间，避免出现退税申请“一窝蜂”情况。三是倾情优服务。结合开展“我为纳税人缴费人办实事暨便民办税春风行动”，在办实事中纾困解难，在优服务中利企便民，以税务人的辛苦指数赢得纳税人缴费人十分满意。退税效率快。从企业提出退税申请到退税审核等每个环节，全部实行无纸化，并主动与财政、国库沟通，确保符合条件的企业退得及时。服务方式活。在办税服务厅专门设立留抵退税导税员，保证每个综合服务窗口正常受理留抵退税申请相关业务。设立留抵退税联络员，在各自环节遇到不能解决的问题，按种类报留抵退税各小组组长及时解决。风险防范早。建立三层风险联防机制，实行动态化长效化监管，化解风险隐患。</w:t>
      </w:r>
    </w:p>
    <w:p w:rsidR="00F332E2" w:rsidRDefault="00F332E2">
      <w:pPr>
        <w:ind w:firstLine="420"/>
      </w:pPr>
      <w:r>
        <w:rPr>
          <w:rFonts w:hint="eastAsia"/>
        </w:rPr>
        <w:t>四、扬“四精”之帆，深化税收征管改革</w:t>
      </w:r>
    </w:p>
    <w:p w:rsidR="00F332E2" w:rsidRDefault="00F332E2">
      <w:pPr>
        <w:ind w:firstLine="420"/>
      </w:pPr>
      <w:r>
        <w:rPr>
          <w:rFonts w:hint="eastAsia"/>
        </w:rPr>
        <w:t>认真落实市局印发落实两办《意见》创新攻坚年实施方案，聚集“四精”目标办实事开新局。一是重规范真监督，税收执法精确度有力提升。认真落实税收执法“三项制度”，推进“双随机、一公开”监管，加强税收执法监督，确保税收执法在阳光中规范，税收风险在规范中化解。二是建“智”税提质效，优化服务精细度有力提升。匠心推出“码”上解决急难愁盼，将阳光</w:t>
      </w:r>
      <w:r>
        <w:rPr>
          <w:rFonts w:hint="eastAsia"/>
        </w:rPr>
        <w:t>e</w:t>
      </w:r>
      <w:r>
        <w:rPr>
          <w:rFonts w:hint="eastAsia"/>
        </w:rPr>
        <w:t>税远程帮办以二维码方式印上纳税服务卡，纳税人只需打开手机扫码，便可解决急难愁盼。三是抓集成严把控，基础监管精准度有力提升。树立税费皆重理念，运用“信用</w:t>
      </w:r>
      <w:r>
        <w:rPr>
          <w:rFonts w:hint="eastAsia"/>
        </w:rPr>
        <w:t>+</w:t>
      </w:r>
      <w:r>
        <w:rPr>
          <w:rFonts w:hint="eastAsia"/>
        </w:rPr>
        <w:t>风险”机制，加强各税（费）种管理；实行无纸化退税，共对</w:t>
      </w:r>
      <w:r>
        <w:rPr>
          <w:rFonts w:hint="eastAsia"/>
        </w:rPr>
        <w:t>38</w:t>
      </w:r>
      <w:r>
        <w:rPr>
          <w:rFonts w:hint="eastAsia"/>
        </w:rPr>
        <w:t>户次企业办理出口退税</w:t>
      </w:r>
      <w:r>
        <w:rPr>
          <w:rFonts w:hint="eastAsia"/>
        </w:rPr>
        <w:t>364</w:t>
      </w:r>
      <w:r>
        <w:rPr>
          <w:rFonts w:hint="eastAsia"/>
        </w:rPr>
        <w:t>万元。四是用数据促联动，协同共治精诚度有力提升。与人社、住建等部门建立健全信息共享机制，促进税务社保等业务深度融合，实现了“一厅联办”。</w:t>
      </w:r>
    </w:p>
    <w:p w:rsidR="00F332E2" w:rsidRDefault="00F332E2">
      <w:pPr>
        <w:ind w:firstLine="420"/>
      </w:pPr>
      <w:r>
        <w:rPr>
          <w:rFonts w:hint="eastAsia"/>
        </w:rPr>
        <w:t>五、固严实之本，持续加强党的建设</w:t>
      </w:r>
    </w:p>
    <w:p w:rsidR="00F332E2" w:rsidRDefault="00F332E2">
      <w:pPr>
        <w:ind w:firstLine="420"/>
      </w:pPr>
      <w:r>
        <w:rPr>
          <w:rFonts w:hint="eastAsia"/>
        </w:rPr>
        <w:t>坚持讲政治实践化、实干化，以抓好党务引领干好税务、带好队伍。一是擦亮红荆兴税党建品牌。制定《海兴县税务局“红荆兴税”党建品牌创建方案》，从建设“红荆兴税”党建品牌厅廊、健全教育平台等</w:t>
      </w:r>
      <w:r>
        <w:rPr>
          <w:rFonts w:hint="eastAsia"/>
        </w:rPr>
        <w:t>5</w:t>
      </w:r>
      <w:r>
        <w:rPr>
          <w:rFonts w:hint="eastAsia"/>
        </w:rPr>
        <w:t>个方面，着力打造“红荆兴税”党建品牌。二是拓展党建与业务深度融合内涵。坚持绩效考核抓班子、数字人事带队伍，一季度全市绩效考核排名第九；依托春训活动，开辟青年夜校，助力年轻干部成长成才；分条线组织业务培训和测试，有</w:t>
      </w:r>
      <w:r>
        <w:rPr>
          <w:rFonts w:hint="eastAsia"/>
        </w:rPr>
        <w:t>3</w:t>
      </w:r>
      <w:r>
        <w:rPr>
          <w:rFonts w:hint="eastAsia"/>
        </w:rPr>
        <w:t>名税务干部参加市局集中培训；围绕三大领域创先争优，办税服务厅荣获沧州市三八红旗集体。三是持续深化正风肃纪反腐。深化纠正“四风”和作风纪律专项整治，让税务干部紧绷弦。将廉政提醒、举报电话等内容，链接到税务干部手机端，纳税人缴费人只要给税务干部打电话，廉政提醒等内容便会在税务干部手机屏显示，给税务干部敲警钟。深化纪检监察体制改革，支持县局纪检组履职主责主业，运用四种形态加强监督执纪问责，一体推进“三不”机制，营造风清气正海晏河清的政治生态。</w:t>
      </w:r>
    </w:p>
    <w:p w:rsidR="00F332E2" w:rsidRDefault="00F332E2">
      <w:pPr>
        <w:ind w:firstLine="420"/>
        <w:jc w:val="right"/>
      </w:pPr>
      <w:r>
        <w:rPr>
          <w:rFonts w:hint="eastAsia"/>
        </w:rPr>
        <w:t>海兴县税务局</w:t>
      </w:r>
      <w:r>
        <w:rPr>
          <w:rFonts w:hint="eastAsia"/>
        </w:rPr>
        <w:t>2022-08-15</w:t>
      </w:r>
    </w:p>
    <w:p w:rsidR="00F332E2" w:rsidRDefault="00F332E2" w:rsidP="00BD5E0C">
      <w:pPr>
        <w:sectPr w:rsidR="00F332E2" w:rsidSect="00BD5E0C">
          <w:type w:val="continuous"/>
          <w:pgSz w:w="11906" w:h="16838"/>
          <w:pgMar w:top="1644" w:right="1236" w:bottom="1418" w:left="1814" w:header="851" w:footer="907" w:gutter="0"/>
          <w:pgNumType w:start="1"/>
          <w:cols w:space="720"/>
          <w:docGrid w:type="lines" w:linePitch="341" w:charSpace="2373"/>
        </w:sectPr>
      </w:pPr>
    </w:p>
    <w:p w:rsidR="007E1EAE" w:rsidRDefault="007E1EAE"/>
    <w:sectPr w:rsidR="007E1E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332E2"/>
    <w:rsid w:val="007E1EAE"/>
    <w:rsid w:val="00F332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32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32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419</Words>
  <Characters>2393</Characters>
  <Application>Microsoft Office Word</Application>
  <DocSecurity>0</DocSecurity>
  <Lines>19</Lines>
  <Paragraphs>5</Paragraphs>
  <ScaleCrop>false</ScaleCrop>
  <Company>微软中国</Company>
  <LinksUpToDate>false</LinksUpToDate>
  <CharactersWithSpaces>2807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