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7E" w:rsidRDefault="00EC5E7E" w:rsidP="0031073B">
      <w:pPr>
        <w:pStyle w:val="1"/>
      </w:pPr>
      <w:bookmarkStart w:id="0" w:name="_Toc127343181"/>
      <w:r w:rsidRPr="0031073B">
        <w:rPr>
          <w:rFonts w:hint="eastAsia"/>
        </w:rPr>
        <w:t>塞上江南向“绿”而行——张掖市</w:t>
      </w:r>
      <w:r w:rsidRPr="0031073B">
        <w:t>2022年生态环境保护工作综述</w:t>
      </w:r>
      <w:bookmarkEnd w:id="0"/>
    </w:p>
    <w:p w:rsidR="00EC5E7E" w:rsidRDefault="00EC5E7E" w:rsidP="00EC5E7E">
      <w:pPr>
        <w:ind w:firstLineChars="200" w:firstLine="420"/>
      </w:pPr>
      <w:r>
        <w:rPr>
          <w:rFonts w:hint="eastAsia"/>
        </w:rPr>
        <w:t>开窗见绿，出门见景。越来越好的空气质量，越建越美的城市公园，实实在在地转变成人们的幸福感与获得感。市民享受生态城市的宜居，农民因美丽乡村的发展而富足，青山绿水蕴藏着无穷的生态宝藏，人与自然和谐共生生动诠释着以人民为中心的发展理念。</w:t>
      </w:r>
    </w:p>
    <w:p w:rsidR="00EC5E7E" w:rsidRDefault="00EC5E7E" w:rsidP="00EC5E7E">
      <w:pPr>
        <w:ind w:firstLineChars="200" w:firstLine="420"/>
      </w:pPr>
      <w:r>
        <w:rPr>
          <w:rFonts w:hint="eastAsia"/>
        </w:rPr>
        <w:t>去年，我市深入贯彻落实习近平生态文明思想，紧紧围绕“一屏四城五区”目标任务，统筹污染治理、生态保护、应对气候变化，深入打好污染防治攻坚战，坚守生态环保底线，持续改善生态环境质量，主动服务经济高质量发展，全市生态文明建设和生态环境保护工作取得显著成效。我市入选全国首批区域再生水循环利用试点城市，黑河美丽河湖典型案例评审排名全省第一，张掖市单位地区生产总值二氧化碳排放“十三五”省级考核获得优秀等次。全市环境质量持续巩固改善，环境空气质量优良天数比率达</w:t>
      </w:r>
      <w:r>
        <w:t>88.9%</w:t>
      </w:r>
      <w:r>
        <w:t>。</w:t>
      </w:r>
    </w:p>
    <w:p w:rsidR="00EC5E7E" w:rsidRDefault="00EC5E7E" w:rsidP="00EC5E7E">
      <w:pPr>
        <w:ind w:firstLineChars="200" w:firstLine="420"/>
      </w:pPr>
      <w:r>
        <w:rPr>
          <w:rFonts w:hint="eastAsia"/>
        </w:rPr>
        <w:t>坚持生态环境保护规划引领，加快推动绿色低碳高质量发展。印发实施《张掖市“十四五”生态环境保护规划》，争取下达中央和省级生态环境专项资金</w:t>
      </w:r>
      <w:r>
        <w:t>5103</w:t>
      </w:r>
      <w:r>
        <w:t>万元，安排实施</w:t>
      </w:r>
      <w:r>
        <w:t>29</w:t>
      </w:r>
      <w:r>
        <w:t>个项目，目前已完工</w:t>
      </w:r>
      <w:r>
        <w:t>14</w:t>
      </w:r>
      <w:r>
        <w:t>个，正在实施</w:t>
      </w:r>
      <w:r>
        <w:t>15</w:t>
      </w:r>
      <w:r>
        <w:t>个。甘州区、临泽县</w:t>
      </w:r>
      <w:r>
        <w:t>2</w:t>
      </w:r>
      <w:r>
        <w:t>个生态环境导向的开发（</w:t>
      </w:r>
      <w:r>
        <w:t>EOD</w:t>
      </w:r>
      <w:r>
        <w:t>）模式试点项目中</w:t>
      </w:r>
      <w:r>
        <w:t>19</w:t>
      </w:r>
      <w:r>
        <w:t>个子项目已开工建设</w:t>
      </w:r>
      <w:r>
        <w:t>15</w:t>
      </w:r>
      <w:r>
        <w:t>个，完成投资</w:t>
      </w:r>
      <w:r>
        <w:t>96779.8</w:t>
      </w:r>
      <w:r>
        <w:t>万元。有序开展生态及地质灾害避险搬迁工作，完成甘州区</w:t>
      </w:r>
      <w:r>
        <w:t>444</w:t>
      </w:r>
      <w:r>
        <w:t>户搬迁对象区级认定、市级审核、省级复核工作。持续优化环评审批服务，建立重大项目</w:t>
      </w:r>
      <w:r>
        <w:t>“</w:t>
      </w:r>
      <w:r>
        <w:t>一对一</w:t>
      </w:r>
      <w:r>
        <w:t>”</w:t>
      </w:r>
      <w:r>
        <w:t>跟踪服务和事前属地参与机制，推行网上办理和环评</w:t>
      </w:r>
      <w:r>
        <w:t>“</w:t>
      </w:r>
      <w:r>
        <w:t>云评</w:t>
      </w:r>
      <w:r>
        <w:rPr>
          <w:rFonts w:hint="eastAsia"/>
        </w:rPr>
        <w:t>审”，办理过程“一窗受理”“一网通办”，去年全市审批项目环评</w:t>
      </w:r>
      <w:r>
        <w:t>209</w:t>
      </w:r>
      <w:r>
        <w:t>个，较上年同期增加</w:t>
      </w:r>
      <w:r>
        <w:t>18.75%</w:t>
      </w:r>
      <w:r>
        <w:t>，市级环保部门审批项目环评</w:t>
      </w:r>
      <w:r>
        <w:t>73</w:t>
      </w:r>
      <w:r>
        <w:t>个，较上年同期增加</w:t>
      </w:r>
      <w:r>
        <w:t>217.39%</w:t>
      </w:r>
      <w:r>
        <w:t>。积极探索生态产品价值实现路径，扎实推进碳达峰碳中和工作，开展碳排放监测数据核算、核查审核等工作，甘肃电投张掖发电有限责任公司完成挂牌交易</w:t>
      </w:r>
      <w:r>
        <w:t>32</w:t>
      </w:r>
      <w:r>
        <w:t>万吨，实现交易收入</w:t>
      </w:r>
      <w:r>
        <w:t>1639.54</w:t>
      </w:r>
      <w:r>
        <w:t>万元。张掖市芦水湾生态景区等西部绿色低碳典型示范案例和绿色低碳公众参与实践基地创建经验积极向全省乃至全国进行宣传推广，指导临泽县探索</w:t>
      </w:r>
      <w:r>
        <w:t>“</w:t>
      </w:r>
      <w:r>
        <w:t>生态旅游</w:t>
      </w:r>
      <w:r>
        <w:t>+”</w:t>
      </w:r>
      <w:r>
        <w:t>生态产品价值实现路径。</w:t>
      </w:r>
    </w:p>
    <w:p w:rsidR="00EC5E7E" w:rsidRDefault="00EC5E7E" w:rsidP="00EC5E7E">
      <w:pPr>
        <w:ind w:firstLineChars="200" w:firstLine="420"/>
      </w:pPr>
      <w:r>
        <w:rPr>
          <w:rFonts w:hint="eastAsia"/>
        </w:rPr>
        <w:t>树牢“两山”理念，筑牢国家西部重要生态安全屏障。忠诚践行生态环境保护“国之大者”，坚持常态长效，扎实推进祁连山和黑河湿地自然保护区保护、治理和修复，持续开展“回头看”“再巩固”“再提升”，确保旧问题不反弹、新问题不发生。从严组织祁连山生态环境保护考核，深入查找短板不足，客观公正地进行量化评价打分，为巩固整改成效和推进高水平监管、高质量发展提供坚实依据和有力支撑。依托祁连山森林和黑河湿地生态系统国家定位观测研究站，实现对祁连山和黑河湿地水文、水质、土壤、气象、植物、动物监测全覆盖。监测结果表明，祁连山生态环境质量稳中有升、持续向好，草地面积明显增加，植被生长状况总体改善。抓好各类突出生态环境问题整改，全市生态环境突出问题排查整治</w:t>
      </w:r>
      <w:r>
        <w:t>269</w:t>
      </w:r>
      <w:r>
        <w:t>个问题，已整改完成</w:t>
      </w:r>
      <w:r>
        <w:t>257</w:t>
      </w:r>
      <w:r>
        <w:t>个，整改完成率</w:t>
      </w:r>
      <w:r>
        <w:t>95.5%</w:t>
      </w:r>
      <w:r>
        <w:t>。</w:t>
      </w:r>
    </w:p>
    <w:p w:rsidR="00EC5E7E" w:rsidRDefault="00EC5E7E" w:rsidP="00EC5E7E">
      <w:pPr>
        <w:ind w:firstLineChars="200" w:firstLine="420"/>
      </w:pPr>
      <w:r>
        <w:rPr>
          <w:rFonts w:hint="eastAsia"/>
        </w:rPr>
        <w:t>打好“三大战役”，持续巩固改善生态环境质量。加快推进空气质量改善行动，淘汰拆除燃煤锅炉</w:t>
      </w:r>
      <w:r>
        <w:t>29</w:t>
      </w:r>
      <w:r>
        <w:t>台，完成</w:t>
      </w:r>
      <w:r>
        <w:t>4</w:t>
      </w:r>
      <w:r>
        <w:t>台</w:t>
      </w:r>
      <w:r>
        <w:t>80</w:t>
      </w:r>
      <w:r>
        <w:t>蒸吨燃煤锅炉超低排放改造，城区机械化清扫率达</w:t>
      </w:r>
      <w:r>
        <w:t>100%</w:t>
      </w:r>
      <w:r>
        <w:t>，秸秆资源化利用率达</w:t>
      </w:r>
      <w:r>
        <w:t>87.93%</w:t>
      </w:r>
      <w:r>
        <w:t>，机动车检测总合格率达</w:t>
      </w:r>
      <w:r>
        <w:t>84.7%</w:t>
      </w:r>
      <w:r>
        <w:t>，同比提高</w:t>
      </w:r>
      <w:r>
        <w:t>2.3</w:t>
      </w:r>
      <w:r>
        <w:t>个百分点。深入推进水环境质量提升行动，持续推进乡镇集中式饮用水水源保护区规范化建设，完成全市入河排污口初步排查和县级及以上城市集中式饮用水水源保护区矢量图编制，开展了重点流域水生态环境调查。持续深化</w:t>
      </w:r>
      <w:r>
        <w:lastRenderedPageBreak/>
        <w:t>土壤污染防治行动，完成</w:t>
      </w:r>
      <w:r>
        <w:t>120</w:t>
      </w:r>
      <w:r>
        <w:t>宗</w:t>
      </w:r>
      <w:r>
        <w:t>“</w:t>
      </w:r>
      <w:r>
        <w:t>一住两公</w:t>
      </w:r>
      <w:r>
        <w:t>”</w:t>
      </w:r>
      <w:r>
        <w:t>建设用地的土壤污染状况调查工作，推</w:t>
      </w:r>
      <w:r>
        <w:rPr>
          <w:rFonts w:hint="eastAsia"/>
        </w:rPr>
        <w:t>进农用地分类管理、精细化管理。指导民乐县开展全国农业面源污染治理与监督指导试点县建设工作。争取资金</w:t>
      </w:r>
      <w:r>
        <w:t>840</w:t>
      </w:r>
      <w:r>
        <w:t>万元实施</w:t>
      </w:r>
      <w:r>
        <w:t>16</w:t>
      </w:r>
      <w:r>
        <w:t>个行政村农村环境整治项目。</w:t>
      </w:r>
    </w:p>
    <w:p w:rsidR="00EC5E7E" w:rsidRDefault="00EC5E7E" w:rsidP="00EC5E7E">
      <w:pPr>
        <w:ind w:firstLineChars="200" w:firstLine="420"/>
      </w:pPr>
      <w:r>
        <w:rPr>
          <w:rFonts w:hint="eastAsia"/>
        </w:rPr>
        <w:t>夯实“五项基础”，着力构建现代环境治理体系。不断推进生态环境领域改革和法规标准建设，扎实推进环境污染强制责任保险等</w:t>
      </w:r>
      <w:r>
        <w:t>8</w:t>
      </w:r>
      <w:r>
        <w:t>项生态文明体制改革并取得初步成效。全面落实排污许可制度，核发排污许可证</w:t>
      </w:r>
      <w:r>
        <w:t>108</w:t>
      </w:r>
      <w:r>
        <w:t>家。组织</w:t>
      </w:r>
      <w:r>
        <w:t>62</w:t>
      </w:r>
      <w:r>
        <w:t>家企业开展环境信息强制性披露，完成</w:t>
      </w:r>
      <w:r>
        <w:t>8</w:t>
      </w:r>
      <w:r>
        <w:t>家企业强制性清洁生产审核评估验收。持续加强生态环境监测工作，扎实推进执法队伍作风能力建设专项整治工作，严格落实行政执法</w:t>
      </w:r>
      <w:r>
        <w:t>“</w:t>
      </w:r>
      <w:r>
        <w:t>三项制度</w:t>
      </w:r>
      <w:r>
        <w:t>”</w:t>
      </w:r>
      <w:r>
        <w:t>。扎实做好环境宣传教育，在市环保局官方网站、微博、微信公众号上同步发布消息</w:t>
      </w:r>
      <w:r>
        <w:t>1800</w:t>
      </w:r>
      <w:r>
        <w:t>多条，阅读量达</w:t>
      </w:r>
      <w:r>
        <w:t>90</w:t>
      </w:r>
      <w:r>
        <w:t>万人次，在国家和省市报刊、媒体刊载信息</w:t>
      </w:r>
      <w:r>
        <w:t>470</w:t>
      </w:r>
      <w:r>
        <w:t>余篇。全市建立</w:t>
      </w:r>
      <w:r>
        <w:t>8</w:t>
      </w:r>
      <w:r>
        <w:t>个习近平生态文明思想教育基地和</w:t>
      </w:r>
      <w:r>
        <w:t>6</w:t>
      </w:r>
      <w:r>
        <w:t>条研学路线，举办各类主题宣传活动</w:t>
      </w:r>
      <w:r>
        <w:t>26</w:t>
      </w:r>
      <w:r>
        <w:t>场次，</w:t>
      </w:r>
      <w:r>
        <w:t>800</w:t>
      </w:r>
      <w:r>
        <w:t>余名环保志愿者、中小学师生、社区居民等参加环保设施向公众开放活动，召开生态环境保护工作新闻发布会，开展十年工作系列宣传报道及学习党的二十大精神系列报道。</w:t>
      </w:r>
    </w:p>
    <w:p w:rsidR="00EC5E7E" w:rsidRDefault="00EC5E7E" w:rsidP="00EC5E7E">
      <w:pPr>
        <w:ind w:firstLineChars="200" w:firstLine="420"/>
      </w:pPr>
      <w:r>
        <w:rPr>
          <w:rFonts w:hint="eastAsia"/>
        </w:rPr>
        <w:t>提升“六种能力”，确保全市生态环境安全。强化生态环境领域安全监管，建立重点环境风险源数据信息清单和排查整治台账，编制突发环境事件应急响应方案等</w:t>
      </w:r>
      <w:r>
        <w:t>8</w:t>
      </w:r>
      <w:r>
        <w:t>个部门预案，服务指导</w:t>
      </w:r>
      <w:r>
        <w:t>180</w:t>
      </w:r>
      <w:r>
        <w:t>家企事业单位编制突发环境事件应急预案并备案，开展了突发环境事件应急演练。提升固废危废管理能力，严格落实转移联单制度，全市安全转移处置各类危险废物</w:t>
      </w:r>
      <w:r>
        <w:t>33399</w:t>
      </w:r>
      <w:r>
        <w:t>吨、规范处理涉疫医疗废物</w:t>
      </w:r>
      <w:r>
        <w:t>1594.9</w:t>
      </w:r>
      <w:r>
        <w:t>吨。切实提升环境执法监管能力，全面深化</w:t>
      </w:r>
      <w:r>
        <w:t>“6+1”</w:t>
      </w:r>
      <w:r>
        <w:t>和</w:t>
      </w:r>
      <w:r>
        <w:t>“</w:t>
      </w:r>
      <w:r>
        <w:t>三化两分一强化</w:t>
      </w:r>
      <w:r>
        <w:t>”</w:t>
      </w:r>
      <w:r>
        <w:t>生态环境监管执法模式，立案查处环境违法行为</w:t>
      </w:r>
      <w:r>
        <w:t>29</w:t>
      </w:r>
      <w:r>
        <w:t>起。受理办结环境信访</w:t>
      </w:r>
      <w:r>
        <w:t>247</w:t>
      </w:r>
      <w:r>
        <w:t>件、环境监管</w:t>
      </w:r>
      <w:r>
        <w:rPr>
          <w:rFonts w:hint="eastAsia"/>
        </w:rPr>
        <w:t>“小微权力”信访</w:t>
      </w:r>
      <w:r>
        <w:t>288</w:t>
      </w:r>
      <w:r>
        <w:t>件，结案率</w:t>
      </w:r>
      <w:r>
        <w:t>100%</w:t>
      </w:r>
      <w:r>
        <w:t>。提升污染源自动监控管理能力，加强自动监控数据管控、分析预警，督促排污单位达标排放。</w:t>
      </w:r>
    </w:p>
    <w:p w:rsidR="00EC5E7E" w:rsidRDefault="00EC5E7E" w:rsidP="0031073B">
      <w:pPr>
        <w:jc w:val="right"/>
      </w:pPr>
      <w:r w:rsidRPr="0031073B">
        <w:rPr>
          <w:rFonts w:hint="eastAsia"/>
        </w:rPr>
        <w:t>张掖市</w:t>
      </w:r>
      <w:r>
        <w:rPr>
          <w:rFonts w:hint="eastAsia"/>
        </w:rPr>
        <w:t>新闻网</w:t>
      </w:r>
      <w:r>
        <w:rPr>
          <w:rFonts w:hint="eastAsia"/>
        </w:rPr>
        <w:t>2023-2-10</w:t>
      </w:r>
    </w:p>
    <w:p w:rsidR="00EC5E7E" w:rsidRDefault="00EC5E7E" w:rsidP="0088528E">
      <w:pPr>
        <w:sectPr w:rsidR="00EC5E7E"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51F99" w:rsidRDefault="00251F99"/>
    <w:sectPr w:rsidR="00251F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11" w:rsidRDefault="00251F99">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11" w:rsidRDefault="00251F99">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11" w:rsidRDefault="00251F99">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11" w:rsidRDefault="00251F99">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C5E7E"/>
    <w:rsid w:val="00251F99"/>
    <w:rsid w:val="00EC5E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C5E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C5E7E"/>
    <w:rPr>
      <w:rFonts w:ascii="黑体" w:eastAsia="黑体" w:hAnsi="宋体" w:cs="Times New Roman"/>
      <w:b/>
      <w:kern w:val="36"/>
      <w:sz w:val="32"/>
      <w:szCs w:val="32"/>
    </w:rPr>
  </w:style>
  <w:style w:type="paragraph" w:styleId="a3">
    <w:name w:val="header"/>
    <w:basedOn w:val="a"/>
    <w:link w:val="Char"/>
    <w:rsid w:val="00EC5E7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EC5E7E"/>
    <w:rPr>
      <w:rFonts w:ascii="宋体" w:eastAsia="宋体" w:hAnsi="宋体" w:cs="Times New Roman"/>
      <w:b/>
      <w:bCs/>
      <w:i/>
      <w:kern w:val="36"/>
      <w:sz w:val="24"/>
      <w:szCs w:val="18"/>
    </w:rPr>
  </w:style>
  <w:style w:type="paragraph" w:styleId="a4">
    <w:name w:val="footer"/>
    <w:basedOn w:val="a"/>
    <w:link w:val="Char0"/>
    <w:rsid w:val="00EC5E7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EC5E7E"/>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Company>Microsoft</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2023-02-15T00:46:00Z</dcterms:created>
</cp:coreProperties>
</file>