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AB" w:rsidRDefault="00BA07AB">
      <w:pPr>
        <w:pStyle w:val="1"/>
      </w:pPr>
      <w:r>
        <w:rPr>
          <w:rFonts w:hint="eastAsia"/>
        </w:rPr>
        <w:t>铜陵市信访局2022年政府信息公开工作年度报告</w:t>
      </w:r>
    </w:p>
    <w:p w:rsidR="00BA07AB" w:rsidRDefault="00BA07AB">
      <w:pPr>
        <w:ind w:firstLine="420"/>
        <w:jc w:val="left"/>
      </w:pPr>
      <w:r>
        <w:t>根据《中华人民共和国政府信息公开条例》（国务院令第</w:t>
      </w:r>
      <w:r>
        <w:t xml:space="preserve"> 711 </w:t>
      </w:r>
      <w:r>
        <w:t>号）（以下简称《条例》）和《安徽省政务公开办公室，关于做好</w:t>
      </w:r>
      <w:r>
        <w:t>2022</w:t>
      </w:r>
      <w:r>
        <w:t>年度政府信息公开工作年度报告编制及数据报送工作的通知》（皖政务办秘〔</w:t>
      </w:r>
      <w:r>
        <w:t>2023</w:t>
      </w:r>
      <w:r>
        <w:t>〕</w:t>
      </w:r>
      <w:r>
        <w:t>1</w:t>
      </w:r>
      <w:r>
        <w:t>号），结合我局信息公开工作有关统计数据，分别从主动公开、依申请公开、政府信息管理，政府信息公开平台建设，监督保障等方面总结如下：报告所列数据的统计期限自</w:t>
      </w:r>
      <w:r>
        <w:t xml:space="preserve"> 2022</w:t>
      </w:r>
      <w:r>
        <w:t>年</w:t>
      </w:r>
      <w:r>
        <w:t xml:space="preserve"> 1 </w:t>
      </w:r>
      <w:r>
        <w:t>月</w:t>
      </w:r>
      <w:r>
        <w:t xml:space="preserve"> 1 </w:t>
      </w:r>
      <w:r>
        <w:t>日起至</w:t>
      </w:r>
      <w:r>
        <w:t xml:space="preserve"> 2022</w:t>
      </w:r>
      <w:r>
        <w:t>年</w:t>
      </w:r>
      <w:r>
        <w:t xml:space="preserve"> 12 </w:t>
      </w:r>
      <w:r>
        <w:t>月</w:t>
      </w:r>
      <w:r>
        <w:t xml:space="preserve"> 31 </w:t>
      </w:r>
      <w:r>
        <w:t>日止。如对报告有任何疑问，请联系铜陵市信访局办公室，电话</w:t>
      </w:r>
      <w:r>
        <w:t xml:space="preserve"> 0562--5880844</w:t>
      </w:r>
      <w:r>
        <w:t>。（地址：铜陵市铜官区湖东路</w:t>
      </w:r>
      <w:r>
        <w:t>569</w:t>
      </w:r>
      <w:r>
        <w:t>号，邮编：</w:t>
      </w:r>
      <w:r>
        <w:t>244000</w:t>
      </w:r>
      <w:r>
        <w:t>；电话：</w:t>
      </w:r>
      <w:r>
        <w:t>0562-5880844</w:t>
      </w:r>
      <w:r>
        <w:t>，电子邮箱：</w:t>
      </w:r>
      <w:hyperlink r:id="rId4" w:history="1">
        <w:r>
          <w:rPr>
            <w:rStyle w:val="a3"/>
            <w:rFonts w:ascii="CESI仿宋-GB2312" w:eastAsia="CESI仿宋-GB2312" w:hAnsi="CESI仿宋-GB2312" w:cs="CESI仿宋-GB2312"/>
            <w:szCs w:val="32"/>
          </w:rPr>
          <w:t>tlxfjb@sina.com)。</w:t>
        </w:r>
      </w:hyperlink>
    </w:p>
    <w:p w:rsidR="00BA07AB" w:rsidRDefault="00BA07AB">
      <w:pPr>
        <w:ind w:firstLine="420"/>
        <w:jc w:val="left"/>
      </w:pPr>
      <w:r>
        <w:t>一：总体情况</w:t>
      </w:r>
    </w:p>
    <w:p w:rsidR="00BA07AB" w:rsidRDefault="00BA07AB">
      <w:pPr>
        <w:ind w:firstLine="420"/>
        <w:jc w:val="left"/>
      </w:pPr>
      <w:r>
        <w:t>2022</w:t>
      </w:r>
      <w:r>
        <w:t>年铜陵市信访局以习近平新时代中国特色社会主义思想为指导，全面贯彻党的十九大、二十大精神，认真贯彻政府《信息公开条例》，深入贯彻落实习近平总书记关于加强和改进人民信访工作重要思想，规范做好信访工作信息公开事项。局领导高度重视，积极推进信访局门户网站建设，召开专题会议，落实责任分工，确立了主要领导亲自抓、分管领导具体抓、办公室统筹协调、各科室积极配合的工作机制，努力推进政府信息公开工作，提高统领信访工作透明度，提升政府公信力，打造</w:t>
      </w:r>
      <w:r>
        <w:t>“</w:t>
      </w:r>
      <w:r>
        <w:t>阳光信访</w:t>
      </w:r>
      <w:r>
        <w:t>”</w:t>
      </w:r>
      <w:r>
        <w:t>信息平台。</w:t>
      </w:r>
    </w:p>
    <w:p w:rsidR="00BA07AB" w:rsidRDefault="00BA07AB">
      <w:pPr>
        <w:ind w:firstLine="420"/>
        <w:jc w:val="left"/>
      </w:pPr>
      <w:r>
        <w:t>（一）主动公开情况。市信访局持续加强信息公开力度，按照信息公开的法定程序和公开要限要求，及时在信访局门户网站和政府信息公开网公开领导接访下访及信访工作要闻等信息，对现有公开内容进行修改完善，及时转载信访相关信息及政府公开内容。依据</w:t>
      </w:r>
      <w:r>
        <w:t>“</w:t>
      </w:r>
      <w:r>
        <w:t>应公开尽公开</w:t>
      </w:r>
      <w:r>
        <w:t>”</w:t>
      </w:r>
      <w:r>
        <w:t>的原则，全年政务公开信息更新</w:t>
      </w:r>
      <w:r>
        <w:t>87</w:t>
      </w:r>
      <w:r>
        <w:t>件，信访局门户网站公开更新</w:t>
      </w:r>
      <w:r>
        <w:t>955</w:t>
      </w:r>
      <w:r>
        <w:t>件。</w:t>
      </w:r>
    </w:p>
    <w:p w:rsidR="00BA07AB" w:rsidRDefault="00BA07AB">
      <w:pPr>
        <w:ind w:firstLine="420"/>
        <w:jc w:val="left"/>
      </w:pPr>
      <w:r>
        <w:t>（二）依申请公开情况。全年未接到公开申请。</w:t>
      </w:r>
    </w:p>
    <w:p w:rsidR="00BA07AB" w:rsidRDefault="00BA07AB">
      <w:pPr>
        <w:ind w:firstLine="420"/>
        <w:jc w:val="left"/>
      </w:pPr>
      <w:r>
        <w:t>（三）政府信息管理。为进一步规范信息公开目录和公开内容，局领导高度重视网站建设管理工作及信息公开工作，一是加强组织管理，由局主要领导重点抓、分管领导仔细抓，各科室协调负责信息公开资料收集及录入等工作，确保工作顺利开展。二是明确工作要求，信访局积极推进政府信息公开，推进一般事项公开向重点领域公开、结果公开向全过程公开两个转变，及时发布相关信息，扩大公开范围，细化公开内容，积极接受第三方检测评估，及时调整网站栏目，梳理错误内容，使政府信息公开网站管理更加细化有效。三是完善严密制度，为进一步保障信息公开工作的严密性，局安排专人负责网站管理内容发布，并定期进行各类业务培训，要求各科室对信息公开制度不断学习，提高业务素质。</w:t>
      </w:r>
    </w:p>
    <w:p w:rsidR="00BA07AB" w:rsidRDefault="00BA07AB">
      <w:pPr>
        <w:ind w:firstLine="420"/>
        <w:jc w:val="left"/>
      </w:pPr>
      <w:r>
        <w:t>（四）平台建设情况。为进一步完善信息公开工作，市信访局进一步加强对政府信息公开平台、局门户网站的平台管理，严格要求、责任落实，严把政治关，文字关，不断完善政务公开栏目设置，不断完善局门户网站各类信息，严格落实信息发布审核制度，做到过程可留痕，责任可追溯，明确</w:t>
      </w:r>
      <w:r>
        <w:t>“</w:t>
      </w:r>
      <w:r>
        <w:t>以公开为常态，不公开为例外</w:t>
      </w:r>
      <w:r>
        <w:t>”</w:t>
      </w:r>
      <w:r>
        <w:t>要求，做好平台建设工作。</w:t>
      </w:r>
    </w:p>
    <w:p w:rsidR="00BA07AB" w:rsidRDefault="00BA07AB">
      <w:pPr>
        <w:ind w:firstLine="420"/>
        <w:jc w:val="left"/>
      </w:pPr>
      <w:r>
        <w:t>（五）监督保障情况。</w:t>
      </w:r>
      <w:r>
        <w:t>2022</w:t>
      </w:r>
      <w:r>
        <w:t>年，市信访局严格落实信息公开制度，保障政府信息公开平台及局门户网站的完善，形成了以局领导班子为核心，办公室统筹协调，各科室积极参与的工作局面，强化责任分工，实行全局监督机制，通过</w:t>
      </w:r>
      <w:r>
        <w:t>“</w:t>
      </w:r>
      <w:r>
        <w:t>撰写人、审稿人、签发人</w:t>
      </w:r>
      <w:r>
        <w:t>”</w:t>
      </w:r>
      <w:r>
        <w:t>三级管理、层层审核、层层把关，并且加强对政务公开工作的追责问责，对不履行公开义务或公开不应当公开事项、造成严重影响的依法依规严肃追究责任，保障信息公开平台作为人民群众了解政府工作的渠道不断完善。</w:t>
      </w:r>
    </w:p>
    <w:p w:rsidR="00BA07AB" w:rsidRDefault="00BA07AB">
      <w:pPr>
        <w:ind w:firstLine="420"/>
        <w:jc w:val="left"/>
      </w:pPr>
      <w:r>
        <w:t>二、主动公开政府信息情况</w:t>
      </w:r>
    </w:p>
    <w:tbl>
      <w:tblPr>
        <w:tblW w:w="0" w:type="auto"/>
        <w:jc w:val="center"/>
        <w:tblCellMar>
          <w:left w:w="0" w:type="dxa"/>
          <w:right w:w="0" w:type="dxa"/>
        </w:tblCellMar>
        <w:tblLook w:val="04A0"/>
      </w:tblPr>
      <w:tblGrid>
        <w:gridCol w:w="2243"/>
        <w:gridCol w:w="2243"/>
        <w:gridCol w:w="2242"/>
        <w:gridCol w:w="2242"/>
      </w:tblGrid>
      <w:tr w:rsidR="00BA07AB">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lastRenderedPageBreak/>
              <w:t>第二十条第（一）项</w:t>
            </w:r>
          </w:p>
        </w:tc>
      </w:tr>
      <w:tr w:rsidR="00BA07AB">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信息内容</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BA07AB" w:rsidRDefault="00BA07AB">
            <w:r>
              <w:t>本年制发件数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BA07AB" w:rsidRDefault="00BA07AB">
            <w:r>
              <w:t>本年废止件数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BA07AB" w:rsidRDefault="00BA07AB">
            <w:r>
              <w:t>现行有效件数</w:t>
            </w:r>
          </w:p>
        </w:tc>
      </w:tr>
      <w:tr w:rsidR="00BA07AB">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r>
      <w:tr w:rsidR="00BA07AB">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r>
      <w:tr w:rsidR="00BA07AB">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第二十条第（五）项</w:t>
            </w:r>
          </w:p>
        </w:tc>
      </w:tr>
      <w:tr w:rsidR="00BA07AB">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信息内容</w:t>
            </w:r>
          </w:p>
        </w:tc>
        <w:tc>
          <w:tcPr>
            <w:tcW w:w="730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BA07AB" w:rsidRDefault="00BA07AB">
            <w:r>
              <w:t>本年处理决定数量</w:t>
            </w:r>
          </w:p>
        </w:tc>
      </w:tr>
      <w:tr w:rsidR="00BA07AB">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r>
      <w:tr w:rsidR="00BA07AB">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第二十条第（六）项</w:t>
            </w:r>
          </w:p>
        </w:tc>
      </w:tr>
      <w:tr w:rsidR="00BA07AB">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信息内容</w:t>
            </w:r>
          </w:p>
        </w:tc>
        <w:tc>
          <w:tcPr>
            <w:tcW w:w="730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BA07AB" w:rsidRDefault="00BA07AB">
            <w:r>
              <w:t>本年处理决定数量</w:t>
            </w:r>
          </w:p>
        </w:tc>
      </w:tr>
      <w:tr w:rsidR="00BA07AB">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r>
      <w:tr w:rsidR="00BA07AB">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r>
      <w:tr w:rsidR="00BA07AB">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第二十条第（八）项</w:t>
            </w:r>
          </w:p>
        </w:tc>
      </w:tr>
      <w:tr w:rsidR="00BA07AB">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信息内容</w:t>
            </w:r>
          </w:p>
        </w:tc>
        <w:tc>
          <w:tcPr>
            <w:tcW w:w="730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BA07AB" w:rsidRDefault="00BA07AB">
            <w:r>
              <w:t>本年收费金额（单位：万元）</w:t>
            </w:r>
          </w:p>
        </w:tc>
      </w:tr>
      <w:tr w:rsidR="00BA07AB">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行政事业性收费</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r>
    </w:tbl>
    <w:p w:rsidR="00BA07AB" w:rsidRDefault="00BA07AB">
      <w:pPr>
        <w:ind w:firstLine="420"/>
      </w:pPr>
      <w:r>
        <w:rPr>
          <w:rFonts w:hint="eastAsia"/>
        </w:rPr>
        <w:t>三、收到和处理政府信息公开申请情况</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746"/>
        <w:gridCol w:w="1027"/>
        <w:gridCol w:w="2741"/>
        <w:gridCol w:w="631"/>
        <w:gridCol w:w="646"/>
        <w:gridCol w:w="646"/>
        <w:gridCol w:w="646"/>
        <w:gridCol w:w="646"/>
        <w:gridCol w:w="646"/>
        <w:gridCol w:w="646"/>
      </w:tblGrid>
      <w:tr w:rsidR="00BA07AB">
        <w:trPr>
          <w:jc w:val="center"/>
        </w:trPr>
        <w:tc>
          <w:tcPr>
            <w:tcW w:w="4967"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BA07AB" w:rsidRDefault="00BA07AB">
            <w:r>
              <w:t>（本列数据的勾稽关系为：第一项加第二项之和，等于第三项加第四项之和）</w:t>
            </w:r>
          </w:p>
        </w:tc>
        <w:tc>
          <w:tcPr>
            <w:tcW w:w="4781"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BA07AB" w:rsidRDefault="00BA07AB">
            <w:r>
              <w:t>申请人情况</w:t>
            </w:r>
          </w:p>
        </w:tc>
      </w:tr>
      <w:tr w:rsidR="00BA07AB">
        <w:trPr>
          <w:jc w:val="center"/>
        </w:trPr>
        <w:tc>
          <w:tcPr>
            <w:tcW w:w="4967"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BA07AB" w:rsidRDefault="00BA07AB"/>
        </w:tc>
        <w:tc>
          <w:tcPr>
            <w:tcW w:w="683"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自然人</w:t>
            </w:r>
          </w:p>
        </w:tc>
        <w:tc>
          <w:tcPr>
            <w:tcW w:w="3415"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法人或其他组织</w:t>
            </w:r>
          </w:p>
        </w:tc>
        <w:tc>
          <w:tcPr>
            <w:tcW w:w="683" w:type="dxa"/>
            <w:vMerge w:val="restart"/>
            <w:tcBorders>
              <w:top w:val="single" w:sz="8" w:space="0" w:color="auto"/>
              <w:left w:val="nil"/>
              <w:bottom w:val="outset" w:sz="8" w:space="0" w:color="auto"/>
              <w:right w:val="single" w:sz="8" w:space="0" w:color="auto"/>
            </w:tcBorders>
            <w:shd w:val="clear" w:color="auto" w:fill="auto"/>
            <w:tcMar>
              <w:left w:w="108" w:type="dxa"/>
              <w:right w:w="108" w:type="dxa"/>
            </w:tcMar>
            <w:vAlign w:val="center"/>
          </w:tcPr>
          <w:p w:rsidR="00BA07AB" w:rsidRDefault="00BA07AB">
            <w:r>
              <w:t>总计</w:t>
            </w:r>
          </w:p>
        </w:tc>
      </w:tr>
      <w:tr w:rsidR="00BA07AB">
        <w:trPr>
          <w:jc w:val="center"/>
        </w:trPr>
        <w:tc>
          <w:tcPr>
            <w:tcW w:w="4967"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BA07AB" w:rsidRDefault="00BA07AB"/>
        </w:tc>
        <w:tc>
          <w:tcPr>
            <w:tcW w:w="683" w:type="dxa"/>
            <w:vMerge/>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tc>
        <w:tc>
          <w:tcPr>
            <w:tcW w:w="683"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商业</w:t>
            </w:r>
          </w:p>
          <w:p w:rsidR="00BA07AB" w:rsidRDefault="00BA07AB">
            <w:r>
              <w:t>企业</w:t>
            </w:r>
          </w:p>
        </w:tc>
        <w:tc>
          <w:tcPr>
            <w:tcW w:w="683"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科研</w:t>
            </w:r>
          </w:p>
          <w:p w:rsidR="00BA07AB" w:rsidRDefault="00BA07AB">
            <w:r>
              <w:t>机构</w:t>
            </w:r>
          </w:p>
        </w:tc>
        <w:tc>
          <w:tcPr>
            <w:tcW w:w="68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社会公益组织</w:t>
            </w:r>
          </w:p>
        </w:tc>
        <w:tc>
          <w:tcPr>
            <w:tcW w:w="68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法律服务机构</w:t>
            </w:r>
          </w:p>
        </w:tc>
        <w:tc>
          <w:tcPr>
            <w:tcW w:w="68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其他</w:t>
            </w:r>
          </w:p>
        </w:tc>
        <w:tc>
          <w:tcPr>
            <w:tcW w:w="683" w:type="dxa"/>
            <w:vMerge/>
            <w:tcBorders>
              <w:top w:val="single" w:sz="8" w:space="0" w:color="auto"/>
              <w:left w:val="nil"/>
              <w:bottom w:val="outset" w:sz="8" w:space="0" w:color="auto"/>
              <w:right w:val="single" w:sz="8" w:space="0" w:color="auto"/>
            </w:tcBorders>
            <w:shd w:val="clear" w:color="auto" w:fill="auto"/>
            <w:tcMar>
              <w:left w:w="108" w:type="dxa"/>
              <w:right w:w="108" w:type="dxa"/>
            </w:tcMar>
            <w:vAlign w:val="center"/>
          </w:tcPr>
          <w:p w:rsidR="00BA07AB" w:rsidRDefault="00BA07AB"/>
        </w:tc>
      </w:tr>
      <w:tr w:rsidR="00BA07AB">
        <w:trPr>
          <w:jc w:val="center"/>
        </w:trPr>
        <w:tc>
          <w:tcPr>
            <w:tcW w:w="4967"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一、本年新收政府信息公开申请数量</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4967"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二、上年结转政府信息公开申请数量</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r>
      <w:tr w:rsidR="00BA07AB">
        <w:trPr>
          <w:jc w:val="center"/>
        </w:trPr>
        <w:tc>
          <w:tcPr>
            <w:tcW w:w="781" w:type="dxa"/>
            <w:vMerge w:val="restar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三、本年度办理结果</w:t>
            </w:r>
          </w:p>
        </w:tc>
        <w:tc>
          <w:tcPr>
            <w:tcW w:w="4186"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（一）予以公开</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single" w:sz="8" w:space="0" w:color="auto"/>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4186"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（二）部分公开（区分处理的，只计这一情形，不计其他情形）</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（三）不予公开</w:t>
            </w:r>
          </w:p>
        </w:tc>
        <w:tc>
          <w:tcPr>
            <w:tcW w:w="3112"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1.</w:t>
            </w:r>
            <w:r>
              <w:t>属于国家秘密</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single" w:sz="8" w:space="0" w:color="auto"/>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tc>
        <w:tc>
          <w:tcPr>
            <w:tcW w:w="3112"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2.</w:t>
            </w:r>
            <w:r>
              <w:t>其他法律行政法规禁止公开</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tc>
        <w:tc>
          <w:tcPr>
            <w:tcW w:w="3112"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3.</w:t>
            </w:r>
            <w:r>
              <w:t>危及</w:t>
            </w:r>
            <w:r>
              <w:t>“</w:t>
            </w:r>
            <w:r>
              <w:t>三安全一稳定</w:t>
            </w:r>
            <w:r>
              <w:t>”</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tc>
        <w:tc>
          <w:tcPr>
            <w:tcW w:w="3112"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4.</w:t>
            </w:r>
            <w:r>
              <w:t>保护第三方合法权益</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tc>
        <w:tc>
          <w:tcPr>
            <w:tcW w:w="3112"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5.</w:t>
            </w:r>
            <w:r>
              <w:t>属于三类内部事务信息</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tc>
        <w:tc>
          <w:tcPr>
            <w:tcW w:w="3112"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6.</w:t>
            </w:r>
            <w:r>
              <w:t>属于四类过程性信息</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tc>
        <w:tc>
          <w:tcPr>
            <w:tcW w:w="3112"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7.</w:t>
            </w:r>
            <w:r>
              <w:t>属于行政执法案卷</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tc>
        <w:tc>
          <w:tcPr>
            <w:tcW w:w="3112"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8.</w:t>
            </w:r>
            <w:r>
              <w:t>属于行政查询事项</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（四）无法提供</w:t>
            </w:r>
          </w:p>
        </w:tc>
        <w:tc>
          <w:tcPr>
            <w:tcW w:w="3112"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1.</w:t>
            </w:r>
            <w:r>
              <w:t>本机关不掌握相关政府信息</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tc>
        <w:tc>
          <w:tcPr>
            <w:tcW w:w="3112"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2.</w:t>
            </w:r>
            <w:r>
              <w:t>没有现成信息需要另行制作</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tc>
        <w:tc>
          <w:tcPr>
            <w:tcW w:w="3112"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3.</w:t>
            </w:r>
            <w:r>
              <w:t>补正后申请内容仍不明确</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（五）不予处理</w:t>
            </w:r>
          </w:p>
        </w:tc>
        <w:tc>
          <w:tcPr>
            <w:tcW w:w="3112"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1.</w:t>
            </w:r>
            <w:r>
              <w:t>信访举报投诉类申请</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tc>
        <w:tc>
          <w:tcPr>
            <w:tcW w:w="3112"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2.</w:t>
            </w:r>
            <w:r>
              <w:t>重复申请</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tc>
        <w:tc>
          <w:tcPr>
            <w:tcW w:w="3112"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3.</w:t>
            </w:r>
            <w:r>
              <w:t>要求提供公开出版物</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tc>
        <w:tc>
          <w:tcPr>
            <w:tcW w:w="3112"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4.</w:t>
            </w:r>
            <w:r>
              <w:t>无正当理由大量反复申请</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trHeight w:val="779"/>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tc>
        <w:tc>
          <w:tcPr>
            <w:tcW w:w="3112"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5.</w:t>
            </w:r>
            <w:r>
              <w:t>要求行政机关确认或重新出具已获取信息</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（六）其他处理</w:t>
            </w:r>
          </w:p>
        </w:tc>
        <w:tc>
          <w:tcPr>
            <w:tcW w:w="3112"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1.</w:t>
            </w:r>
            <w:r>
              <w:t>申请人无正当理由逾期不补正、行政机关不再处理其政府信息公开申请</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tc>
        <w:tc>
          <w:tcPr>
            <w:tcW w:w="3112"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2.</w:t>
            </w:r>
            <w:r>
              <w:t>申请人逾期未按收费通知要求缴纳费用、行政机关不再处理其政府信息公开申请</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107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tc>
        <w:tc>
          <w:tcPr>
            <w:tcW w:w="3112"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3.</w:t>
            </w:r>
            <w:r>
              <w:t>其他</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781"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tc>
        <w:tc>
          <w:tcPr>
            <w:tcW w:w="4186"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（七）总计</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r w:rsidR="00BA07AB">
        <w:trPr>
          <w:jc w:val="center"/>
        </w:trPr>
        <w:tc>
          <w:tcPr>
            <w:tcW w:w="4967"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BA07AB" w:rsidRDefault="00BA07AB">
            <w:r>
              <w:t>四、结转下年度继续办理</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vAlign w:val="center"/>
          </w:tcPr>
          <w:p w:rsidR="00BA07AB" w:rsidRDefault="00BA07AB">
            <w:r>
              <w:t>0</w:t>
            </w:r>
          </w:p>
        </w:tc>
        <w:tc>
          <w:tcPr>
            <w:tcW w:w="683" w:type="dxa"/>
            <w:tcBorders>
              <w:top w:val="nil"/>
              <w:left w:val="nil"/>
              <w:bottom w:val="single" w:sz="8" w:space="0" w:color="auto"/>
              <w:right w:val="single" w:sz="8" w:space="0" w:color="auto"/>
            </w:tcBorders>
            <w:shd w:val="clear" w:color="auto" w:fill="auto"/>
            <w:tcMar>
              <w:left w:w="57" w:type="dxa"/>
              <w:right w:w="57" w:type="dxa"/>
            </w:tcMar>
          </w:tcPr>
          <w:p w:rsidR="00BA07AB" w:rsidRDefault="00BA07AB">
            <w:r>
              <w:t>0</w:t>
            </w:r>
          </w:p>
        </w:tc>
      </w:tr>
    </w:tbl>
    <w:p w:rsidR="00BA07AB" w:rsidRDefault="00BA07AB">
      <w:pPr>
        <w:ind w:firstLine="420"/>
      </w:pPr>
      <w:r>
        <w:rPr>
          <w:rFonts w:hint="eastAsia"/>
        </w:rPr>
        <w:t>四、政府信息公开行政复议、行政诉讼情况</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03"/>
        <w:gridCol w:w="604"/>
        <w:gridCol w:w="604"/>
        <w:gridCol w:w="604"/>
        <w:gridCol w:w="604"/>
        <w:gridCol w:w="604"/>
        <w:gridCol w:w="604"/>
        <w:gridCol w:w="605"/>
        <w:gridCol w:w="605"/>
        <w:gridCol w:w="605"/>
        <w:gridCol w:w="606"/>
        <w:gridCol w:w="606"/>
        <w:gridCol w:w="606"/>
        <w:gridCol w:w="606"/>
        <w:gridCol w:w="606"/>
      </w:tblGrid>
      <w:tr w:rsidR="00BA07AB">
        <w:trPr>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A07AB" w:rsidRDefault="00BA07AB">
            <w:r>
              <w:t>行政复议</w:t>
            </w:r>
          </w:p>
        </w:tc>
        <w:tc>
          <w:tcPr>
            <w:tcW w:w="6503"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行政诉讼</w:t>
            </w:r>
          </w:p>
        </w:tc>
      </w:tr>
      <w:tr w:rsidR="00BA07AB">
        <w:trPr>
          <w:jc w:val="center"/>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A07AB" w:rsidRDefault="00BA07AB">
            <w:r>
              <w:t>结果维持</w:t>
            </w:r>
          </w:p>
        </w:tc>
        <w:tc>
          <w:tcPr>
            <w:tcW w:w="649"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结果</w:t>
            </w:r>
            <w:r>
              <w:br/>
            </w:r>
            <w:r>
              <w:t>纠正</w:t>
            </w:r>
          </w:p>
        </w:tc>
        <w:tc>
          <w:tcPr>
            <w:tcW w:w="649"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其他</w:t>
            </w:r>
            <w:r>
              <w:br/>
            </w:r>
            <w:r>
              <w:t>结果</w:t>
            </w:r>
          </w:p>
        </w:tc>
        <w:tc>
          <w:tcPr>
            <w:tcW w:w="649"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尚未</w:t>
            </w:r>
            <w:r>
              <w:br/>
            </w:r>
            <w:r>
              <w:t>审结</w:t>
            </w:r>
          </w:p>
        </w:tc>
        <w:tc>
          <w:tcPr>
            <w:tcW w:w="649"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总计</w:t>
            </w:r>
          </w:p>
        </w:tc>
        <w:tc>
          <w:tcPr>
            <w:tcW w:w="3248"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未经复议直接起诉</w:t>
            </w:r>
          </w:p>
        </w:tc>
        <w:tc>
          <w:tcPr>
            <w:tcW w:w="3255"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复议后起诉</w:t>
            </w:r>
          </w:p>
        </w:tc>
      </w:tr>
      <w:tr w:rsidR="00BA07AB">
        <w:trPr>
          <w:jc w:val="center"/>
        </w:trPr>
        <w:tc>
          <w:tcPr>
            <w:tcW w:w="6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A07AB" w:rsidRDefault="00BA07AB"/>
        </w:tc>
        <w:tc>
          <w:tcPr>
            <w:tcW w:w="64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tc>
        <w:tc>
          <w:tcPr>
            <w:tcW w:w="649"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tc>
        <w:tc>
          <w:tcPr>
            <w:tcW w:w="649"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tc>
        <w:tc>
          <w:tcPr>
            <w:tcW w:w="649"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tc>
        <w:tc>
          <w:tcPr>
            <w:tcW w:w="649"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结果</w:t>
            </w:r>
            <w:r>
              <w:br/>
            </w:r>
            <w:r>
              <w:t>维持</w:t>
            </w:r>
          </w:p>
        </w:tc>
        <w:tc>
          <w:tcPr>
            <w:tcW w:w="649"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结果</w:t>
            </w:r>
            <w:r>
              <w:br/>
            </w:r>
            <w:r>
              <w:t>纠正</w:t>
            </w:r>
          </w:p>
        </w:tc>
        <w:tc>
          <w:tcPr>
            <w:tcW w:w="65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其他</w:t>
            </w:r>
            <w:r>
              <w:br/>
            </w:r>
            <w:r>
              <w:t>结果</w:t>
            </w:r>
          </w:p>
        </w:tc>
        <w:tc>
          <w:tcPr>
            <w:tcW w:w="65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尚未</w:t>
            </w:r>
            <w:r>
              <w:br/>
            </w:r>
            <w:r>
              <w:t>审结</w:t>
            </w:r>
          </w:p>
        </w:tc>
        <w:tc>
          <w:tcPr>
            <w:tcW w:w="65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总计</w:t>
            </w:r>
          </w:p>
        </w:tc>
        <w:tc>
          <w:tcPr>
            <w:tcW w:w="65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结果</w:t>
            </w:r>
            <w:r>
              <w:br/>
            </w:r>
            <w:r>
              <w:t>维持</w:t>
            </w:r>
          </w:p>
        </w:tc>
        <w:tc>
          <w:tcPr>
            <w:tcW w:w="65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结果</w:t>
            </w:r>
            <w:r>
              <w:br/>
            </w:r>
            <w:r>
              <w:t>纠正</w:t>
            </w:r>
          </w:p>
        </w:tc>
        <w:tc>
          <w:tcPr>
            <w:tcW w:w="65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其他</w:t>
            </w:r>
            <w:r>
              <w:br/>
            </w:r>
            <w:r>
              <w:t>结果</w:t>
            </w:r>
          </w:p>
        </w:tc>
        <w:tc>
          <w:tcPr>
            <w:tcW w:w="65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尚未</w:t>
            </w:r>
            <w:r>
              <w:br/>
            </w:r>
            <w:r>
              <w:t>审结</w:t>
            </w:r>
          </w:p>
        </w:tc>
        <w:tc>
          <w:tcPr>
            <w:tcW w:w="65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A07AB" w:rsidRDefault="00BA07AB">
            <w:r>
              <w:t>总计</w:t>
            </w:r>
          </w:p>
        </w:tc>
      </w:tr>
      <w:tr w:rsidR="00BA07AB">
        <w:trPr>
          <w:trHeight w:val="672"/>
          <w:jc w:val="center"/>
        </w:trPr>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A07AB" w:rsidRDefault="00BA07AB">
            <w:r>
              <w:t>0</w:t>
            </w:r>
          </w:p>
        </w:tc>
        <w:tc>
          <w:tcPr>
            <w:tcW w:w="649"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0</w:t>
            </w:r>
          </w:p>
        </w:tc>
        <w:tc>
          <w:tcPr>
            <w:tcW w:w="649"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0</w:t>
            </w:r>
          </w:p>
        </w:tc>
        <w:tc>
          <w:tcPr>
            <w:tcW w:w="649"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0</w:t>
            </w:r>
          </w:p>
        </w:tc>
        <w:tc>
          <w:tcPr>
            <w:tcW w:w="649"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0</w:t>
            </w:r>
          </w:p>
        </w:tc>
        <w:tc>
          <w:tcPr>
            <w:tcW w:w="649"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0</w:t>
            </w:r>
          </w:p>
        </w:tc>
        <w:tc>
          <w:tcPr>
            <w:tcW w:w="649"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0</w:t>
            </w:r>
          </w:p>
        </w:tc>
        <w:tc>
          <w:tcPr>
            <w:tcW w:w="650"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0</w:t>
            </w:r>
          </w:p>
        </w:tc>
        <w:tc>
          <w:tcPr>
            <w:tcW w:w="650"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0</w:t>
            </w:r>
          </w:p>
        </w:tc>
        <w:tc>
          <w:tcPr>
            <w:tcW w:w="650"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0</w:t>
            </w:r>
          </w:p>
        </w:tc>
        <w:tc>
          <w:tcPr>
            <w:tcW w:w="651"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0</w:t>
            </w:r>
          </w:p>
        </w:tc>
        <w:tc>
          <w:tcPr>
            <w:tcW w:w="651"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0</w:t>
            </w:r>
          </w:p>
        </w:tc>
        <w:tc>
          <w:tcPr>
            <w:tcW w:w="651"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0</w:t>
            </w:r>
          </w:p>
        </w:tc>
        <w:tc>
          <w:tcPr>
            <w:tcW w:w="651"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0</w:t>
            </w:r>
          </w:p>
        </w:tc>
        <w:tc>
          <w:tcPr>
            <w:tcW w:w="651" w:type="dxa"/>
            <w:tcBorders>
              <w:top w:val="nil"/>
              <w:left w:val="nil"/>
              <w:bottom w:val="single" w:sz="8" w:space="0" w:color="auto"/>
              <w:right w:val="single" w:sz="8" w:space="0" w:color="auto"/>
            </w:tcBorders>
            <w:shd w:val="clear" w:color="auto" w:fill="auto"/>
            <w:tcMar>
              <w:left w:w="108" w:type="dxa"/>
              <w:right w:w="108" w:type="dxa"/>
            </w:tcMar>
            <w:vAlign w:val="center"/>
          </w:tcPr>
          <w:p w:rsidR="00BA07AB" w:rsidRDefault="00BA07AB">
            <w:r>
              <w:t>0</w:t>
            </w:r>
          </w:p>
        </w:tc>
      </w:tr>
    </w:tbl>
    <w:p w:rsidR="00BA07AB" w:rsidRDefault="00BA07AB">
      <w:pPr>
        <w:ind w:firstLine="420"/>
        <w:jc w:val="left"/>
      </w:pPr>
      <w:r>
        <w:t>五：存在的主要问题及改进情况</w:t>
      </w:r>
    </w:p>
    <w:p w:rsidR="00BA07AB" w:rsidRDefault="00BA07AB">
      <w:pPr>
        <w:ind w:firstLine="420"/>
        <w:jc w:val="left"/>
      </w:pPr>
      <w:r>
        <w:t>（一）存在问题。一是政务公开主动意识有待进一步提升，必须做到应公开，尽公开。二是需要加强对政务公开人员的业务培训，使其更好的完善政务公开工作，加强平台建设。三是平台建设理解不够透彻，一些工作内容无法对应上栏目的设置，需要后期整改及补发。</w:t>
      </w:r>
    </w:p>
    <w:p w:rsidR="00BA07AB" w:rsidRDefault="00BA07AB">
      <w:pPr>
        <w:ind w:firstLine="420"/>
        <w:jc w:val="left"/>
      </w:pPr>
      <w:r>
        <w:t>（二）改进情况：一是加强学习，信息公开工作人员要积极与各科室对接，及时整理相关材料，形成信息公开文件，加大对政务公开法律法规的学习力度，进行自主学习，业务培训，学习相结合，努力提高信息公开的质量。二是深入研究市直部门政府信息主动公开目录规范，深挖规范要求，注重细节管理，保障在信息发布过程中不错项不漏项，确保信息公开更新及时全面。</w:t>
      </w:r>
    </w:p>
    <w:p w:rsidR="00BA07AB" w:rsidRDefault="00BA07AB">
      <w:pPr>
        <w:ind w:firstLine="420"/>
        <w:jc w:val="left"/>
      </w:pPr>
      <w:r>
        <w:t>六：其他需要报告的事项。</w:t>
      </w:r>
    </w:p>
    <w:p w:rsidR="00BA07AB" w:rsidRDefault="00BA07AB">
      <w:pPr>
        <w:ind w:firstLine="420"/>
        <w:jc w:val="left"/>
      </w:pPr>
      <w:r>
        <w:t>按照《国务院办公厅关于印发〈政府信息公开信息处理费管理办法〉的通知》（国办函【</w:t>
      </w:r>
      <w:r>
        <w:t>2020</w:t>
      </w:r>
      <w:r>
        <w:t>】</w:t>
      </w:r>
      <w:r>
        <w:t>109</w:t>
      </w:r>
      <w:r>
        <w:t>号）规定的按件、按量收费标准，本年度没有产生信息公开处理费。</w:t>
      </w:r>
    </w:p>
    <w:p w:rsidR="00BA07AB" w:rsidRDefault="00BA07AB">
      <w:pPr>
        <w:ind w:firstLine="420"/>
        <w:jc w:val="right"/>
      </w:pPr>
      <w:r>
        <w:rPr>
          <w:rFonts w:hint="eastAsia"/>
        </w:rPr>
        <w:t>铜陵市政府信访局</w:t>
      </w:r>
      <w:r>
        <w:rPr>
          <w:rFonts w:hint="eastAsia"/>
        </w:rPr>
        <w:t>2023-01-17</w:t>
      </w:r>
    </w:p>
    <w:p w:rsidR="00BA07AB" w:rsidRDefault="00BA07AB" w:rsidP="00AB1C6C">
      <w:pPr>
        <w:sectPr w:rsidR="00BA07AB" w:rsidSect="00AB1C6C">
          <w:type w:val="continuous"/>
          <w:pgSz w:w="11906" w:h="16838"/>
          <w:pgMar w:top="1644" w:right="1236" w:bottom="1418" w:left="1814" w:header="851" w:footer="907" w:gutter="0"/>
          <w:pgNumType w:start="1"/>
          <w:cols w:space="720"/>
          <w:docGrid w:type="lines" w:linePitch="341" w:charSpace="2373"/>
        </w:sectPr>
      </w:pPr>
    </w:p>
    <w:p w:rsidR="00F94919" w:rsidRDefault="00F94919"/>
    <w:sectPr w:rsidR="00F949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ESI仿宋-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A07AB"/>
    <w:rsid w:val="00BA07AB"/>
    <w:rsid w:val="00F94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A07A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A07AB"/>
    <w:rPr>
      <w:rFonts w:ascii="黑体" w:eastAsia="黑体" w:hAnsi="宋体" w:cs="Times New Roman"/>
      <w:b/>
      <w:kern w:val="36"/>
      <w:sz w:val="32"/>
      <w:szCs w:val="32"/>
    </w:rPr>
  </w:style>
  <w:style w:type="character" w:styleId="a3">
    <w:name w:val="Hyperlink"/>
    <w:basedOn w:val="a0"/>
    <w:uiPriority w:val="99"/>
    <w:qFormat/>
    <w:rsid w:val="00BA07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lxfjb@sina.com)%E3%80%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Company>Microsoft</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2023-02-07T08:38:00Z</dcterms:created>
</cp:coreProperties>
</file>