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05DA" w:rsidRDefault="00D005DA">
      <w:pPr>
        <w:pStyle w:val="1"/>
      </w:pPr>
      <w:r>
        <w:rPr>
          <w:rFonts w:hint="eastAsia"/>
        </w:rPr>
        <w:t>济南市建立“124”新型审管联动机制打造审批监管共同体</w:t>
      </w:r>
    </w:p>
    <w:p w:rsidR="00D005DA" w:rsidRDefault="00D005DA">
      <w:pPr>
        <w:ind w:firstLine="420"/>
        <w:jc w:val="left"/>
      </w:pPr>
      <w:r>
        <w:rPr>
          <w:rFonts w:hint="eastAsia"/>
        </w:rPr>
        <w:t>编者按：针对审批监管过程中协调难、协同难、共享难等回题，济南市通过推行“两化”“四互”，在制度协同、职能协同、智慧协同、奖惩协同等方面进行了积极探索。近期，相关做法在省委编办《关于学习借鉴部分市县经验做法加快完善审批监管衔接机制的通知》中予以推广，现予转发。</w:t>
      </w:r>
    </w:p>
    <w:p w:rsidR="00D005DA" w:rsidRDefault="00D005DA">
      <w:pPr>
        <w:ind w:firstLine="420"/>
        <w:jc w:val="left"/>
      </w:pPr>
      <w:r>
        <w:rPr>
          <w:rFonts w:hint="eastAsia"/>
        </w:rPr>
        <w:t>济南市围绕行政审批与事中事后监管有效衔接问题，以“规范协同”为目标，推行“两化”（制度化，清单化）、“四互”（政策互通、业务互助、信息互推，信用互享），建立“</w:t>
      </w:r>
      <w:r>
        <w:rPr>
          <w:rFonts w:hint="eastAsia"/>
        </w:rPr>
        <w:t>124</w:t>
      </w:r>
      <w:r>
        <w:rPr>
          <w:rFonts w:hint="eastAsia"/>
        </w:rPr>
        <w:t>”新型审批监管，推动实现审管无缝衔接、制度协同、职能协同、智慧协同、奖惩协同，持续助力优化营商环境。</w:t>
      </w:r>
    </w:p>
    <w:p w:rsidR="00D005DA" w:rsidRDefault="00D005DA">
      <w:pPr>
        <w:ind w:firstLine="420"/>
        <w:jc w:val="left"/>
      </w:pPr>
      <w:r>
        <w:rPr>
          <w:rFonts w:hint="eastAsia"/>
        </w:rPr>
        <w:t>一是推行“两化”，实现职责清晰、运行规范。推行制度化，市政府办公厅印发《关于进一步规范审管互动工作的通知》，明确济南市行政审批服务平台审管互动模块是审管互动的规范渠道；实行审批和监管信息推送短信提醒，建立“推送即认领”制度；建立定期通报机制，推动审管互动工作规范运行。推行清单化，全面梳理</w:t>
      </w:r>
      <w:r>
        <w:rPr>
          <w:rFonts w:hint="eastAsia"/>
        </w:rPr>
        <w:t>200</w:t>
      </w:r>
      <w:r>
        <w:rPr>
          <w:rFonts w:hint="eastAsia"/>
        </w:rPr>
        <w:t>余项审管分离事项，逐项明确审管互动工作的责任单位及处室、具体责任人员以及联系方式，制定公布《审管互动事项清单》，确保责任落实到人、任务落实到位。按照“谁审批谁负责，谁主管谁监管”的原则，行政审批部门与行业管理部门签订工作备忘录，进一步厘清权责界限，确保划转事项审管无缝衔接。</w:t>
      </w:r>
    </w:p>
    <w:p w:rsidR="00D005DA" w:rsidRDefault="00D005DA">
      <w:pPr>
        <w:ind w:firstLine="420"/>
        <w:jc w:val="left"/>
      </w:pPr>
      <w:r>
        <w:rPr>
          <w:rFonts w:hint="eastAsia"/>
        </w:rPr>
        <w:t>二是推进政策互通，实现制度协同。行政审批部门协同行业管理部门制定政策文件，进一步规范行政审批和审管协同联动等流程。如针对社会关注度较高的“被股东”问题，市行政审批服务局会同市场监管等部门研究出台《关于撤销冒名取得公司登记的工作办法》，得到省市场监管局认可推广；支持济南新旧动能转换起步区建设，与市地震监测中心、住房城乡建设局、自然资源规划局、起步区管委会联合出台《关于加强济南市新旧动能转换起步区建设工程抗震设防管理工作的实施意见》。行业管理部门及时向行政审批部门推送相关法律法规和政策文件，通知行政审批部门参加上级举办的涉及行政审批业务的会议、学习、培训等</w:t>
      </w:r>
      <w:r>
        <w:rPr>
          <w:rFonts w:hint="eastAsia"/>
        </w:rPr>
        <w:t>600</w:t>
      </w:r>
      <w:r>
        <w:rPr>
          <w:rFonts w:hint="eastAsia"/>
        </w:rPr>
        <w:t>余次。</w:t>
      </w:r>
    </w:p>
    <w:p w:rsidR="00D005DA" w:rsidRDefault="00D005DA">
      <w:pPr>
        <w:ind w:firstLine="420"/>
        <w:jc w:val="left"/>
      </w:pPr>
      <w:r>
        <w:rPr>
          <w:rFonts w:hint="eastAsia"/>
        </w:rPr>
        <w:t>三是推进业务互助，实现职能协同。建立业务会商机制，加强部门协同，确定专门联络员，行政审批部门与行业管理部门建立定期联访制度、重大工作协同制度、疑难问题合议制度等，通过专题会议、发文函询等方式积极进行衔接沟通、联络会商</w:t>
      </w:r>
      <w:r>
        <w:rPr>
          <w:rFonts w:hint="eastAsia"/>
        </w:rPr>
        <w:t>900</w:t>
      </w:r>
      <w:r>
        <w:rPr>
          <w:rFonts w:hint="eastAsia"/>
        </w:rPr>
        <w:t>余件次。建立联合踏勘机制，行政审批部门协调相关部门组建多部门联合踏勘组，统一时间、统一地点，按照职责分工开展联合踏勘，对多个相关审批事项一次性踏勘评审、一次性告知问题、一次性出具评审意见，有效解决重复踏勘、审批时限长的缺点，降低企业成本。如牵头组织市自然资源规划局、市水务局等对房建项目供水输水管线问题现场联合踏勘和协同办理；组织城管部门联合踏勘环卫验收现场，为多个省市重点项目顺利交付并跟进后期环卫设施使用提供便利。</w:t>
      </w:r>
    </w:p>
    <w:p w:rsidR="00D005DA" w:rsidRDefault="00D005DA">
      <w:pPr>
        <w:ind w:firstLine="420"/>
        <w:jc w:val="left"/>
      </w:pPr>
      <w:r>
        <w:rPr>
          <w:rFonts w:hint="eastAsia"/>
        </w:rPr>
        <w:t>四是推进信息互推，实现智慧协同。建设具有业务监管、专题会商、备案管理及查询统计等功能的审管互动系统，建立审管信息互通共享、双向反馈及信息推送提醒机制，做到审批信息即时推送，行业管理部门主动认领即时启动监管，实现审批监管信息互动联通、无缝衔接。</w:t>
      </w:r>
      <w:r>
        <w:rPr>
          <w:rFonts w:hint="eastAsia"/>
        </w:rPr>
        <w:t xml:space="preserve"> </w:t>
      </w:r>
    </w:p>
    <w:p w:rsidR="00D005DA" w:rsidRDefault="00D005DA">
      <w:pPr>
        <w:ind w:firstLine="420"/>
        <w:jc w:val="left"/>
      </w:pPr>
      <w:r>
        <w:rPr>
          <w:rFonts w:hint="eastAsia"/>
        </w:rPr>
        <w:t>五是推进信用互享，实现奖惩协同。行政审批部门与信用部门加强联动，构建守信激励和失信惩戒机制。市行政审批服务局协同市发展改革委将市行政审批服务平台与信用（济南）数据库联通，实现受理环节在线查询申请人的社会信用信息和联合惩戒信息，及时掌握申请人信用情况。对信用状况良好的，给予绿色通道、容缺受理、告知承诺等便利服务措施；对失信的，限制享受</w:t>
      </w:r>
      <w:r>
        <w:rPr>
          <w:rFonts w:hint="eastAsia"/>
        </w:rPr>
        <w:lastRenderedPageBreak/>
        <w:t>相关便利措施。审批事项办结后及时将申请人许可信息及告知承诺信息录入到信用信息共享平台，对审批过程中发现虚假承诺、违规承诺等行为依法进行认定，并纳入信用记录。</w:t>
      </w:r>
    </w:p>
    <w:p w:rsidR="00D005DA" w:rsidRDefault="00D005DA">
      <w:pPr>
        <w:jc w:val="right"/>
      </w:pPr>
      <w:r>
        <w:rPr>
          <w:rFonts w:hint="eastAsia"/>
        </w:rPr>
        <w:t>济南机构编织网</w:t>
      </w:r>
      <w:r>
        <w:rPr>
          <w:rFonts w:hint="eastAsia"/>
        </w:rPr>
        <w:t>2022-12-09</w:t>
      </w:r>
    </w:p>
    <w:p w:rsidR="00D005DA" w:rsidRDefault="00D005DA" w:rsidP="00AB3409">
      <w:pPr>
        <w:sectPr w:rsidR="00D005DA" w:rsidSect="00AB3409">
          <w:type w:val="continuous"/>
          <w:pgSz w:w="11906" w:h="16838"/>
          <w:pgMar w:top="1644" w:right="1236" w:bottom="1418" w:left="1814" w:header="851" w:footer="907" w:gutter="0"/>
          <w:pgNumType w:start="1"/>
          <w:cols w:space="720"/>
          <w:docGrid w:type="lines" w:linePitch="341" w:charSpace="2373"/>
        </w:sectPr>
      </w:pPr>
    </w:p>
    <w:p w:rsidR="00177850" w:rsidRDefault="00177850"/>
    <w:sectPr w:rsidR="001778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005DA"/>
    <w:rsid w:val="00177850"/>
    <w:rsid w:val="00D005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05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05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234</Words>
  <Characters>1338</Characters>
  <Application>Microsoft Office Word</Application>
  <DocSecurity>0</DocSecurity>
  <Lines>11</Lines>
  <Paragraphs>3</Paragraphs>
  <ScaleCrop>false</ScaleCrop>
  <Company>Microsoft</Company>
  <LinksUpToDate>false</LinksUpToDate>
  <CharactersWithSpaces>1569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