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C0" w:rsidRDefault="001729C0">
      <w:pPr>
        <w:pStyle w:val="1"/>
      </w:pPr>
      <w:r>
        <w:rPr>
          <w:rFonts w:hint="eastAsia"/>
        </w:rPr>
        <w:t>宜宾</w:t>
      </w:r>
      <w:r>
        <w:t>2022年市信访局政府信息公开工作年度报告</w:t>
      </w:r>
    </w:p>
    <w:p w:rsidR="001729C0" w:rsidRDefault="001729C0">
      <w:pPr>
        <w:ind w:firstLine="420"/>
        <w:jc w:val="left"/>
      </w:pPr>
      <w:r>
        <w:t>本报告由宜宾市信访局办公室根据《中华人民共和国政府信息公开条例》（国务院令第</w:t>
      </w:r>
      <w:r>
        <w:t>711</w:t>
      </w:r>
      <w:r>
        <w:t>号）（以下简称《条例》）规定编制。报告所列数据的统计期限自</w:t>
      </w:r>
      <w:r>
        <w:t>2022</w:t>
      </w:r>
      <w:r>
        <w:t>年</w:t>
      </w:r>
      <w:r>
        <w:t>1</w:t>
      </w:r>
      <w:r>
        <w:t>月</w:t>
      </w:r>
      <w:r>
        <w:t>1</w:t>
      </w:r>
      <w:r>
        <w:t>日起至</w:t>
      </w:r>
      <w:r>
        <w:t>2022</w:t>
      </w:r>
      <w:r>
        <w:t>年</w:t>
      </w:r>
      <w:r>
        <w:t>12</w:t>
      </w:r>
      <w:r>
        <w:t>月</w:t>
      </w:r>
      <w:r>
        <w:t>31</w:t>
      </w:r>
      <w:r>
        <w:t>日止，报告电子版可从</w:t>
      </w:r>
      <w:r>
        <w:t>“</w:t>
      </w:r>
      <w:r>
        <w:t>宜宾市信访局</w:t>
      </w:r>
      <w:r>
        <w:t>”</w:t>
      </w:r>
      <w:r>
        <w:t>门户网站（</w:t>
      </w:r>
      <w:r>
        <w:t>xfj.yibin.gov.cn</w:t>
      </w:r>
      <w:r>
        <w:t>）下载。</w:t>
      </w:r>
    </w:p>
    <w:p w:rsidR="001729C0" w:rsidRDefault="001729C0">
      <w:pPr>
        <w:ind w:firstLine="420"/>
        <w:jc w:val="left"/>
      </w:pPr>
      <w:r>
        <w:t>一、总体情况</w:t>
      </w:r>
    </w:p>
    <w:p w:rsidR="001729C0" w:rsidRDefault="001729C0">
      <w:pPr>
        <w:ind w:firstLine="420"/>
        <w:jc w:val="left"/>
      </w:pPr>
      <w:r>
        <w:t>2022</w:t>
      </w:r>
      <w:r>
        <w:t>年，宜宾市信访局认真贯彻落实新修订的《中华人民共和国政府信息公开条例》，持续推进决策、执行、管理、服务、结果</w:t>
      </w:r>
      <w:r>
        <w:t>“</w:t>
      </w:r>
      <w:r>
        <w:t>五公开</w:t>
      </w:r>
      <w:r>
        <w:t>”</w:t>
      </w:r>
      <w:r>
        <w:t>落实到位，围绕党中央、国务院和省、市关于政府信息公开工作的部署安排，紧密结合信访工作实际，着力推进重点领域信息公开，进一步加大政务公开力度，强化政府信息公开管理，不断提升信访工作公信力和透明度。</w:t>
      </w:r>
    </w:p>
    <w:p w:rsidR="001729C0" w:rsidRDefault="001729C0">
      <w:pPr>
        <w:ind w:firstLine="420"/>
        <w:jc w:val="left"/>
      </w:pPr>
      <w:r>
        <w:t>（一）主动公开方面。充分利用政府信息公开平台，及时、全面公开信息，把门户网站、市政府信息公开平台作为政府信息公开的主渠道，同时根据政府公开目录对外公开内容，及时、全面公开。</w:t>
      </w:r>
      <w:r>
        <w:t>2022</w:t>
      </w:r>
      <w:r>
        <w:t>年共发布信息</w:t>
      </w:r>
      <w:r>
        <w:t>168</w:t>
      </w:r>
      <w:r>
        <w:t>条，其中概况类</w:t>
      </w:r>
      <w:r>
        <w:t>1</w:t>
      </w:r>
      <w:r>
        <w:t>条，政务动态信息</w:t>
      </w:r>
      <w:r>
        <w:t>135</w:t>
      </w:r>
      <w:r>
        <w:t>条，信息公开目录</w:t>
      </w:r>
      <w:r>
        <w:t>32</w:t>
      </w:r>
      <w:r>
        <w:t>条。</w:t>
      </w:r>
    </w:p>
    <w:p w:rsidR="001729C0" w:rsidRDefault="001729C0">
      <w:pPr>
        <w:ind w:firstLine="420"/>
        <w:jc w:val="left"/>
      </w:pPr>
      <w:r>
        <w:t>（二）依申请公开方面。在局网站发布的</w:t>
      </w:r>
      <w:r>
        <w:t>“</w:t>
      </w:r>
      <w:r>
        <w:t>公开指南</w:t>
      </w:r>
      <w:r>
        <w:t>”</w:t>
      </w:r>
      <w:r>
        <w:t>中明确公开依申请公开的申请方式</w:t>
      </w:r>
      <w:r>
        <w:t>(</w:t>
      </w:r>
      <w:r>
        <w:t>包括申请渠道、地址、电话、邮箱等</w:t>
      </w:r>
      <w:r>
        <w:t>)</w:t>
      </w:r>
      <w:r>
        <w:t>、申请步骤、监督方式等。本年度我局未收到依申请公开事项。</w:t>
      </w:r>
    </w:p>
    <w:p w:rsidR="001729C0" w:rsidRDefault="001729C0">
      <w:pPr>
        <w:ind w:firstLine="420"/>
        <w:jc w:val="left"/>
      </w:pPr>
      <w:r>
        <w:t>（三）政府信息管理方面。根据自身实际，建立市信访局政府信息管理制度，严格落实政务公开要求，进一步健全完善组织架构，明确规定需要公开的政策文件必须由科室负责人初审、分管领导审核、主要领导审发。齐抓共管，层层把控，不断强化政策文件的管理和审核制度。</w:t>
      </w:r>
    </w:p>
    <w:p w:rsidR="001729C0" w:rsidRDefault="001729C0">
      <w:pPr>
        <w:ind w:firstLine="420"/>
        <w:jc w:val="left"/>
      </w:pPr>
      <w:r>
        <w:t>（四）政府信息公开平台建设方面。一是配合市政府信息服务保障中心完成了政府信息公开专栏的优化升级，及时更新政府信息公开指南，按时公开年度工作报告。二是明确专人进行信息公开的日常维护，充分保障了信息公开的全面性、准确性和规范性，进一步明确了信息公开的主体、内容和时限要求。</w:t>
      </w:r>
    </w:p>
    <w:p w:rsidR="001729C0" w:rsidRDefault="001729C0">
      <w:pPr>
        <w:ind w:firstLine="420"/>
        <w:jc w:val="left"/>
      </w:pPr>
      <w:r>
        <w:t>（五）监督保障方面。一是严格按照政府信息公开相关要求，凡需公开的信息必须由科室负责人预审签字后交分管领导签发，重要稿件经分管领导审核后再由主要领导签发，经审查校对后才可公开发布；二是安排专人负责错情监控，及时自查自纠。</w:t>
      </w:r>
    </w:p>
    <w:p w:rsidR="001729C0" w:rsidRDefault="001729C0">
      <w:pPr>
        <w:ind w:firstLine="420"/>
        <w:jc w:val="left"/>
      </w:pPr>
      <w:r>
        <w:rPr>
          <w:rFonts w:hint="eastAsia"/>
        </w:rPr>
        <w:t>二、主动公开政府信息情况</w:t>
      </w:r>
    </w:p>
    <w:tbl>
      <w:tblPr>
        <w:tblW w:w="973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2430"/>
        <w:gridCol w:w="2430"/>
        <w:gridCol w:w="2430"/>
        <w:gridCol w:w="2445"/>
      </w:tblGrid>
      <w:tr w:rsidR="001729C0">
        <w:trPr>
          <w:trHeight w:val="345"/>
        </w:trPr>
        <w:tc>
          <w:tcPr>
            <w:tcW w:w="9735" w:type="dxa"/>
            <w:gridSpan w:val="4"/>
            <w:tcBorders>
              <w:top w:val="single" w:sz="8" w:space="0" w:color="auto"/>
              <w:left w:val="single" w:sz="8" w:space="0" w:color="auto"/>
              <w:bottom w:val="single" w:sz="8" w:space="0" w:color="auto"/>
              <w:right w:val="single" w:sz="8" w:space="0" w:color="auto"/>
            </w:tcBorders>
            <w:shd w:val="clear" w:color="auto" w:fill="C6D9F1"/>
            <w:tcMar>
              <w:left w:w="60" w:type="dxa"/>
              <w:right w:w="60" w:type="dxa"/>
            </w:tcMar>
            <w:vAlign w:val="center"/>
          </w:tcPr>
          <w:p w:rsidR="001729C0" w:rsidRDefault="001729C0">
            <w:r>
              <w:t>第二十条第（一）项</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信息内容</w:t>
            </w:r>
          </w:p>
        </w:tc>
        <w:tc>
          <w:tcPr>
            <w:tcW w:w="2430" w:type="dxa"/>
            <w:tcBorders>
              <w:top w:val="single" w:sz="8" w:space="0" w:color="auto"/>
              <w:left w:val="nil"/>
              <w:bottom w:val="single" w:sz="8" w:space="0" w:color="auto"/>
              <w:right w:val="single" w:sz="8" w:space="0" w:color="auto"/>
            </w:tcBorders>
            <w:shd w:val="clear" w:color="auto" w:fill="auto"/>
            <w:tcMar>
              <w:left w:w="60" w:type="dxa"/>
              <w:right w:w="60" w:type="dxa"/>
            </w:tcMar>
            <w:vAlign w:val="center"/>
          </w:tcPr>
          <w:p w:rsidR="001729C0" w:rsidRDefault="001729C0">
            <w:r>
              <w:t>本年制发件数</w:t>
            </w:r>
          </w:p>
        </w:tc>
        <w:tc>
          <w:tcPr>
            <w:tcW w:w="2430" w:type="dxa"/>
            <w:tcBorders>
              <w:top w:val="single" w:sz="8" w:space="0" w:color="auto"/>
              <w:left w:val="nil"/>
              <w:bottom w:val="single" w:sz="8" w:space="0" w:color="auto"/>
              <w:right w:val="single" w:sz="8" w:space="0" w:color="auto"/>
            </w:tcBorders>
            <w:shd w:val="clear" w:color="auto" w:fill="auto"/>
            <w:tcMar>
              <w:left w:w="60" w:type="dxa"/>
              <w:right w:w="60" w:type="dxa"/>
            </w:tcMar>
            <w:vAlign w:val="center"/>
          </w:tcPr>
          <w:p w:rsidR="001729C0" w:rsidRDefault="001729C0">
            <w:r>
              <w:t>本年废止件数</w:t>
            </w:r>
          </w:p>
        </w:tc>
        <w:tc>
          <w:tcPr>
            <w:tcW w:w="2430" w:type="dxa"/>
            <w:tcBorders>
              <w:top w:val="single" w:sz="8" w:space="0" w:color="auto"/>
              <w:left w:val="nil"/>
              <w:bottom w:val="single" w:sz="8" w:space="0" w:color="auto"/>
              <w:right w:val="single" w:sz="8" w:space="0" w:color="auto"/>
            </w:tcBorders>
            <w:shd w:val="clear" w:color="auto" w:fill="auto"/>
            <w:tcMar>
              <w:left w:w="60" w:type="dxa"/>
              <w:right w:w="60" w:type="dxa"/>
            </w:tcMar>
            <w:vAlign w:val="center"/>
          </w:tcPr>
          <w:p w:rsidR="001729C0" w:rsidRDefault="001729C0">
            <w:r>
              <w:t>现行有效件数</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规章</w:t>
            </w:r>
          </w:p>
        </w:tc>
        <w:tc>
          <w:tcPr>
            <w:tcW w:w="243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243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243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行政规范性文件</w:t>
            </w:r>
          </w:p>
        </w:tc>
        <w:tc>
          <w:tcPr>
            <w:tcW w:w="243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243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243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rPr>
          <w:trHeight w:val="345"/>
        </w:trPr>
        <w:tc>
          <w:tcPr>
            <w:tcW w:w="9735" w:type="dxa"/>
            <w:gridSpan w:val="4"/>
            <w:tcBorders>
              <w:top w:val="nil"/>
              <w:left w:val="single" w:sz="8" w:space="0" w:color="auto"/>
              <w:bottom w:val="single" w:sz="8" w:space="0" w:color="auto"/>
              <w:right w:val="single" w:sz="8" w:space="0" w:color="auto"/>
            </w:tcBorders>
            <w:shd w:val="clear" w:color="auto" w:fill="C6D9F1"/>
            <w:tcMar>
              <w:left w:w="60" w:type="dxa"/>
              <w:right w:w="60" w:type="dxa"/>
            </w:tcMar>
            <w:vAlign w:val="center"/>
          </w:tcPr>
          <w:p w:rsidR="001729C0" w:rsidRDefault="001729C0">
            <w:r>
              <w:t>第二十条第（五）项</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信息内容</w:t>
            </w:r>
          </w:p>
        </w:tc>
        <w:tc>
          <w:tcPr>
            <w:tcW w:w="7305" w:type="dxa"/>
            <w:gridSpan w:val="3"/>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本年处理决定数量</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行政许可</w:t>
            </w:r>
          </w:p>
        </w:tc>
        <w:tc>
          <w:tcPr>
            <w:tcW w:w="7305" w:type="dxa"/>
            <w:gridSpan w:val="3"/>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rPr>
          <w:trHeight w:val="345"/>
        </w:trPr>
        <w:tc>
          <w:tcPr>
            <w:tcW w:w="9735" w:type="dxa"/>
            <w:gridSpan w:val="4"/>
            <w:tcBorders>
              <w:top w:val="nil"/>
              <w:left w:val="single" w:sz="8" w:space="0" w:color="auto"/>
              <w:bottom w:val="single" w:sz="8" w:space="0" w:color="auto"/>
              <w:right w:val="single" w:sz="8" w:space="0" w:color="auto"/>
            </w:tcBorders>
            <w:shd w:val="clear" w:color="auto" w:fill="C6D9F1"/>
            <w:tcMar>
              <w:left w:w="60" w:type="dxa"/>
              <w:right w:w="60" w:type="dxa"/>
            </w:tcMar>
            <w:vAlign w:val="center"/>
          </w:tcPr>
          <w:p w:rsidR="001729C0" w:rsidRDefault="001729C0">
            <w:r>
              <w:t>第二十条第（六）项</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60" w:type="dxa"/>
              <w:right w:w="60" w:type="dxa"/>
            </w:tcMar>
            <w:vAlign w:val="center"/>
          </w:tcPr>
          <w:p w:rsidR="001729C0" w:rsidRDefault="001729C0">
            <w:r>
              <w:t>本年处理决定数量</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行政处罚</w:t>
            </w:r>
          </w:p>
        </w:tc>
        <w:tc>
          <w:tcPr>
            <w:tcW w:w="7305" w:type="dxa"/>
            <w:gridSpan w:val="3"/>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行政强制</w:t>
            </w:r>
          </w:p>
        </w:tc>
        <w:tc>
          <w:tcPr>
            <w:tcW w:w="7305" w:type="dxa"/>
            <w:gridSpan w:val="3"/>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rPr>
          <w:trHeight w:val="345"/>
        </w:trPr>
        <w:tc>
          <w:tcPr>
            <w:tcW w:w="9735" w:type="dxa"/>
            <w:gridSpan w:val="4"/>
            <w:tcBorders>
              <w:top w:val="nil"/>
              <w:left w:val="single" w:sz="8" w:space="0" w:color="auto"/>
              <w:bottom w:val="single" w:sz="8" w:space="0" w:color="auto"/>
              <w:right w:val="single" w:sz="8" w:space="0" w:color="auto"/>
            </w:tcBorders>
            <w:shd w:val="clear" w:color="auto" w:fill="C6D9F1"/>
            <w:tcMar>
              <w:left w:w="60" w:type="dxa"/>
              <w:right w:w="60" w:type="dxa"/>
            </w:tcMar>
            <w:vAlign w:val="center"/>
          </w:tcPr>
          <w:p w:rsidR="001729C0" w:rsidRDefault="001729C0">
            <w:r>
              <w:lastRenderedPageBreak/>
              <w:t>第二十条第（八）项</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信息内容</w:t>
            </w:r>
          </w:p>
        </w:tc>
        <w:tc>
          <w:tcPr>
            <w:tcW w:w="7305" w:type="dxa"/>
            <w:gridSpan w:val="3"/>
            <w:tcBorders>
              <w:top w:val="nil"/>
              <w:left w:val="nil"/>
              <w:bottom w:val="single" w:sz="8" w:space="0" w:color="auto"/>
              <w:right w:val="single" w:sz="8" w:space="0" w:color="000000"/>
            </w:tcBorders>
            <w:shd w:val="clear" w:color="auto" w:fill="auto"/>
            <w:tcMar>
              <w:left w:w="60" w:type="dxa"/>
              <w:right w:w="60" w:type="dxa"/>
            </w:tcMar>
            <w:vAlign w:val="center"/>
          </w:tcPr>
          <w:p w:rsidR="001729C0" w:rsidRDefault="001729C0">
            <w:r>
              <w:t>本年收费金额（单位：万元）</w:t>
            </w:r>
          </w:p>
        </w:tc>
      </w:tr>
      <w:tr w:rsidR="001729C0">
        <w:trPr>
          <w:trHeight w:val="345"/>
        </w:trPr>
        <w:tc>
          <w:tcPr>
            <w:tcW w:w="2430" w:type="dxa"/>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行政事业性收费</w:t>
            </w:r>
          </w:p>
        </w:tc>
        <w:tc>
          <w:tcPr>
            <w:tcW w:w="7305" w:type="dxa"/>
            <w:gridSpan w:val="3"/>
            <w:tcBorders>
              <w:top w:val="nil"/>
              <w:left w:val="nil"/>
              <w:bottom w:val="single" w:sz="8" w:space="0" w:color="auto"/>
              <w:right w:val="single" w:sz="8" w:space="0" w:color="000000"/>
            </w:tcBorders>
            <w:shd w:val="clear" w:color="auto" w:fill="auto"/>
            <w:tcMar>
              <w:left w:w="60" w:type="dxa"/>
              <w:right w:w="60" w:type="dxa"/>
            </w:tcMar>
            <w:vAlign w:val="center"/>
          </w:tcPr>
          <w:p w:rsidR="001729C0" w:rsidRDefault="001729C0">
            <w:r>
              <w:t>0</w:t>
            </w:r>
          </w:p>
        </w:tc>
      </w:tr>
    </w:tbl>
    <w:p w:rsidR="001729C0" w:rsidRDefault="001729C0">
      <w:pPr>
        <w:ind w:firstLine="420"/>
      </w:pPr>
      <w:r>
        <w:rPr>
          <w:rFonts w:hint="eastAsia"/>
        </w:rPr>
        <w:t>三、收到和处理政府信息公开申请情况</w:t>
      </w:r>
    </w:p>
    <w:tbl>
      <w:tblPr>
        <w:tblW w:w="975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62"/>
        <w:gridCol w:w="944"/>
        <w:gridCol w:w="3179"/>
        <w:gridCol w:w="689"/>
        <w:gridCol w:w="696"/>
        <w:gridCol w:w="696"/>
        <w:gridCol w:w="696"/>
        <w:gridCol w:w="696"/>
        <w:gridCol w:w="696"/>
        <w:gridCol w:w="696"/>
      </w:tblGrid>
      <w:tr w:rsidR="001729C0">
        <w:tc>
          <w:tcPr>
            <w:tcW w:w="5145"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1729C0" w:rsidRDefault="001729C0">
            <w:r>
              <w:t>（本列数据的勾稽关系为：第一项加第二项之和，等于第三项加第四项之和）</w:t>
            </w:r>
          </w:p>
        </w:tc>
        <w:tc>
          <w:tcPr>
            <w:tcW w:w="4995" w:type="dxa"/>
            <w:gridSpan w:val="7"/>
            <w:tcBorders>
              <w:top w:val="single" w:sz="8" w:space="0" w:color="auto"/>
              <w:left w:val="nil"/>
              <w:bottom w:val="single" w:sz="8" w:space="0" w:color="auto"/>
              <w:right w:val="single" w:sz="8" w:space="0" w:color="auto"/>
            </w:tcBorders>
            <w:shd w:val="clear" w:color="auto" w:fill="auto"/>
            <w:tcMar>
              <w:left w:w="60" w:type="dxa"/>
              <w:right w:w="60" w:type="dxa"/>
            </w:tcMar>
            <w:vAlign w:val="center"/>
          </w:tcPr>
          <w:p w:rsidR="001729C0" w:rsidRDefault="001729C0">
            <w:r>
              <w:t>申请人情况</w:t>
            </w:r>
          </w:p>
        </w:tc>
      </w:tr>
      <w:tr w:rsidR="001729C0">
        <w:tc>
          <w:tcPr>
            <w:tcW w:w="5145" w:type="dxa"/>
            <w:gridSpan w:val="3"/>
            <w:vMerge/>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1729C0" w:rsidRDefault="001729C0"/>
        </w:tc>
        <w:tc>
          <w:tcPr>
            <w:tcW w:w="720" w:type="dxa"/>
            <w:vMerge w:val="restart"/>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自然人</w:t>
            </w:r>
          </w:p>
        </w:tc>
        <w:tc>
          <w:tcPr>
            <w:tcW w:w="3570" w:type="dxa"/>
            <w:gridSpan w:val="5"/>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法人或其他组织</w:t>
            </w:r>
          </w:p>
        </w:tc>
        <w:tc>
          <w:tcPr>
            <w:tcW w:w="720" w:type="dxa"/>
            <w:vMerge w:val="restart"/>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总计</w:t>
            </w:r>
          </w:p>
        </w:tc>
      </w:tr>
      <w:tr w:rsidR="001729C0">
        <w:tc>
          <w:tcPr>
            <w:tcW w:w="5145" w:type="dxa"/>
            <w:gridSpan w:val="3"/>
            <w:vMerge/>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1729C0" w:rsidRDefault="001729C0"/>
        </w:tc>
        <w:tc>
          <w:tcPr>
            <w:tcW w:w="72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720"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商业</w:t>
            </w:r>
          </w:p>
          <w:p w:rsidR="001729C0" w:rsidRDefault="001729C0">
            <w:r>
              <w:t>企业</w:t>
            </w:r>
          </w:p>
        </w:tc>
        <w:tc>
          <w:tcPr>
            <w:tcW w:w="720"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科研</w:t>
            </w:r>
          </w:p>
          <w:p w:rsidR="001729C0" w:rsidRDefault="001729C0">
            <w:r>
              <w:t>机构</w:t>
            </w:r>
          </w:p>
        </w:tc>
        <w:tc>
          <w:tcPr>
            <w:tcW w:w="72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社会公益组织</w:t>
            </w:r>
          </w:p>
        </w:tc>
        <w:tc>
          <w:tcPr>
            <w:tcW w:w="72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法律服务机构</w:t>
            </w:r>
          </w:p>
        </w:tc>
        <w:tc>
          <w:tcPr>
            <w:tcW w:w="72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其他</w:t>
            </w:r>
          </w:p>
        </w:tc>
        <w:tc>
          <w:tcPr>
            <w:tcW w:w="720" w:type="dxa"/>
            <w:vMerge/>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tc>
      </w:tr>
      <w:tr w:rsidR="001729C0">
        <w:tc>
          <w:tcPr>
            <w:tcW w:w="5145" w:type="dxa"/>
            <w:gridSpan w:val="3"/>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一、本年新收政府信息公开申请数量</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5145" w:type="dxa"/>
            <w:gridSpan w:val="3"/>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二、上年结转政府信息公开申请数量</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val="restart"/>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三、本年度办理结果</w:t>
            </w:r>
          </w:p>
        </w:tc>
        <w:tc>
          <w:tcPr>
            <w:tcW w:w="4365" w:type="dxa"/>
            <w:gridSpan w:val="2"/>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（一）予以公开</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single" w:sz="8" w:space="0" w:color="auto"/>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4365" w:type="dxa"/>
            <w:gridSpan w:val="2"/>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（二）部分公开（区分处理的，只计这一情形，不计其他情形）</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val="restart"/>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（三）不予公开</w:t>
            </w:r>
          </w:p>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1.</w:t>
            </w:r>
            <w:r>
              <w:t>属于国家秘密</w:t>
            </w:r>
          </w:p>
        </w:tc>
        <w:tc>
          <w:tcPr>
            <w:tcW w:w="720"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single" w:sz="8" w:space="0" w:color="auto"/>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2.</w:t>
            </w:r>
            <w:r>
              <w:t>其他法律行政法规禁止公开</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3.</w:t>
            </w:r>
            <w:r>
              <w:t>危及</w:t>
            </w:r>
            <w:r>
              <w:t>“</w:t>
            </w:r>
            <w:r>
              <w:t>三安全一稳定</w:t>
            </w:r>
            <w:r>
              <w:t>”</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rPr>
          <w:trHeight w:val="345"/>
        </w:trPr>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4.</w:t>
            </w:r>
            <w:r>
              <w:t>保护第三方合法权益</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5.</w:t>
            </w:r>
            <w:r>
              <w:t>属于三类内部事务信息</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6.</w:t>
            </w:r>
            <w:r>
              <w:t>属于四类过程性信息</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7.</w:t>
            </w:r>
            <w:r>
              <w:t>属于行政执法案卷</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8.</w:t>
            </w:r>
            <w:r>
              <w:t>属于行政查询事项</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val="restart"/>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（四）无法提供</w:t>
            </w:r>
          </w:p>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1.</w:t>
            </w:r>
            <w:r>
              <w:t>本机关不掌握相关政府信息</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2.</w:t>
            </w:r>
            <w:r>
              <w:t>没有现成信息需要另行制作</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3.</w:t>
            </w:r>
            <w:r>
              <w:t>补正后申请内容仍不明确</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val="restart"/>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（五）不予处理</w:t>
            </w:r>
          </w:p>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1.</w:t>
            </w:r>
            <w:r>
              <w:t>信访举报投诉类申请</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2.</w:t>
            </w:r>
            <w:r>
              <w:t>重复申请</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3.</w:t>
            </w:r>
            <w:r>
              <w:t>要求提供公开出版物</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tcPr>
          <w:p w:rsidR="001729C0" w:rsidRDefault="001729C0">
            <w:r>
              <w:t>4.</w:t>
            </w:r>
            <w:r>
              <w:t>无正当理由大量反复申请</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rPr>
          <w:trHeight w:val="780"/>
        </w:trPr>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5.</w:t>
            </w:r>
            <w:r>
              <w:t>要求行政机关确认或重新出具已获取信息</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val="restart"/>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（六）其他处理</w:t>
            </w:r>
          </w:p>
        </w:tc>
        <w:tc>
          <w:tcPr>
            <w:tcW w:w="3405"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1.</w:t>
            </w:r>
            <w:r>
              <w:t>申请人无正当理由逾期不补正、行政机关不再处理其政府信息公开申请</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2.</w:t>
            </w:r>
            <w:r>
              <w:t>申请人逾期未按收费通知要求缴纳费用、行政机关不再处理其政府信息公开申请</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960" w:type="dxa"/>
            <w:vMerge/>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tc>
        <w:tc>
          <w:tcPr>
            <w:tcW w:w="3405"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3.</w:t>
            </w:r>
            <w:r>
              <w:t>其他</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780" w:type="dxa"/>
            <w:vMerge/>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tc>
        <w:tc>
          <w:tcPr>
            <w:tcW w:w="4365" w:type="dxa"/>
            <w:gridSpan w:val="2"/>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（七）总计</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r w:rsidR="001729C0">
        <w:tc>
          <w:tcPr>
            <w:tcW w:w="5145" w:type="dxa"/>
            <w:gridSpan w:val="3"/>
            <w:tcBorders>
              <w:top w:val="nil"/>
              <w:left w:val="single" w:sz="8" w:space="0" w:color="auto"/>
              <w:bottom w:val="single" w:sz="8" w:space="0" w:color="auto"/>
              <w:right w:val="single" w:sz="8" w:space="0" w:color="auto"/>
            </w:tcBorders>
            <w:shd w:val="clear" w:color="auto" w:fill="auto"/>
            <w:tcMar>
              <w:left w:w="60" w:type="dxa"/>
              <w:right w:w="60" w:type="dxa"/>
            </w:tcMar>
            <w:vAlign w:val="center"/>
          </w:tcPr>
          <w:p w:rsidR="001729C0" w:rsidRDefault="001729C0">
            <w:r>
              <w:t>四、结转下年度继续办理</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c>
          <w:tcPr>
            <w:tcW w:w="720" w:type="dxa"/>
            <w:tcBorders>
              <w:top w:val="nil"/>
              <w:left w:val="nil"/>
              <w:bottom w:val="single" w:sz="8" w:space="0" w:color="auto"/>
              <w:right w:val="single" w:sz="8" w:space="0" w:color="auto"/>
            </w:tcBorders>
            <w:shd w:val="clear" w:color="auto" w:fill="auto"/>
            <w:tcMar>
              <w:left w:w="60" w:type="dxa"/>
              <w:right w:w="60" w:type="dxa"/>
            </w:tcMar>
            <w:vAlign w:val="center"/>
          </w:tcPr>
          <w:p w:rsidR="001729C0" w:rsidRDefault="001729C0">
            <w:r>
              <w:t>0</w:t>
            </w:r>
          </w:p>
        </w:tc>
      </w:tr>
    </w:tbl>
    <w:p w:rsidR="001729C0" w:rsidRDefault="001729C0">
      <w:pPr>
        <w:ind w:firstLine="420"/>
      </w:pPr>
      <w:r>
        <w:rPr>
          <w:rFonts w:hint="eastAsia"/>
        </w:rPr>
        <w:t>四、政府信息公开行政复议、行政诉讼情况</w:t>
      </w:r>
    </w:p>
    <w:tbl>
      <w:tblPr>
        <w:tblW w:w="975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45"/>
        <w:gridCol w:w="645"/>
        <w:gridCol w:w="645"/>
        <w:gridCol w:w="645"/>
        <w:gridCol w:w="660"/>
        <w:gridCol w:w="645"/>
        <w:gridCol w:w="645"/>
        <w:gridCol w:w="645"/>
        <w:gridCol w:w="645"/>
        <w:gridCol w:w="675"/>
        <w:gridCol w:w="645"/>
        <w:gridCol w:w="645"/>
        <w:gridCol w:w="645"/>
        <w:gridCol w:w="645"/>
        <w:gridCol w:w="675"/>
      </w:tblGrid>
      <w:tr w:rsidR="001729C0">
        <w:tc>
          <w:tcPr>
            <w:tcW w:w="3240" w:type="dxa"/>
            <w:gridSpan w:val="5"/>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1729C0" w:rsidRDefault="001729C0">
            <w:r>
              <w:t>行政复议</w:t>
            </w:r>
          </w:p>
        </w:tc>
        <w:tc>
          <w:tcPr>
            <w:tcW w:w="6510" w:type="dxa"/>
            <w:gridSpan w:val="10"/>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行政诉讼</w:t>
            </w:r>
          </w:p>
        </w:tc>
      </w:tr>
      <w:tr w:rsidR="001729C0">
        <w:tc>
          <w:tcPr>
            <w:tcW w:w="645" w:type="dxa"/>
            <w:vMerge w:val="restart"/>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1729C0" w:rsidRDefault="001729C0">
            <w:r>
              <w:t>结果维持</w:t>
            </w:r>
          </w:p>
        </w:tc>
        <w:tc>
          <w:tcPr>
            <w:tcW w:w="645" w:type="dxa"/>
            <w:vMerge w:val="restart"/>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结果</w:t>
            </w:r>
            <w:r>
              <w:br/>
            </w:r>
            <w:r>
              <w:t>纠正</w:t>
            </w:r>
          </w:p>
        </w:tc>
        <w:tc>
          <w:tcPr>
            <w:tcW w:w="645" w:type="dxa"/>
            <w:vMerge w:val="restart"/>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其他</w:t>
            </w:r>
            <w:r>
              <w:br/>
            </w:r>
            <w:r>
              <w:t>结果</w:t>
            </w:r>
          </w:p>
        </w:tc>
        <w:tc>
          <w:tcPr>
            <w:tcW w:w="645" w:type="dxa"/>
            <w:vMerge w:val="restart"/>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尚未</w:t>
            </w:r>
            <w:r>
              <w:br/>
            </w:r>
            <w:r>
              <w:t>审结</w:t>
            </w:r>
          </w:p>
        </w:tc>
        <w:tc>
          <w:tcPr>
            <w:tcW w:w="645" w:type="dxa"/>
            <w:vMerge w:val="restart"/>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总计</w:t>
            </w:r>
          </w:p>
        </w:tc>
        <w:tc>
          <w:tcPr>
            <w:tcW w:w="3255" w:type="dxa"/>
            <w:gridSpan w:val="5"/>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未经复议直接起诉</w:t>
            </w:r>
          </w:p>
        </w:tc>
        <w:tc>
          <w:tcPr>
            <w:tcW w:w="3255" w:type="dxa"/>
            <w:gridSpan w:val="5"/>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复议后起诉</w:t>
            </w:r>
          </w:p>
        </w:tc>
      </w:tr>
      <w:tr w:rsidR="001729C0">
        <w:tc>
          <w:tcPr>
            <w:tcW w:w="645" w:type="dxa"/>
            <w:vMerge/>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1729C0" w:rsidRDefault="001729C0"/>
        </w:tc>
        <w:tc>
          <w:tcPr>
            <w:tcW w:w="645" w:type="dxa"/>
            <w:vMerge/>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tc>
        <w:tc>
          <w:tcPr>
            <w:tcW w:w="645" w:type="dxa"/>
            <w:vMerge/>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tc>
        <w:tc>
          <w:tcPr>
            <w:tcW w:w="645" w:type="dxa"/>
            <w:vMerge/>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tc>
        <w:tc>
          <w:tcPr>
            <w:tcW w:w="645" w:type="dxa"/>
            <w:vMerge/>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结果</w:t>
            </w:r>
            <w:r>
              <w:br/>
            </w:r>
            <w:r>
              <w:t>维持</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结果</w:t>
            </w:r>
            <w:r>
              <w:br/>
            </w:r>
            <w:r>
              <w:t>纠正</w:t>
            </w:r>
          </w:p>
        </w:tc>
        <w:tc>
          <w:tcPr>
            <w:tcW w:w="64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其他</w:t>
            </w:r>
            <w:r>
              <w:br/>
            </w:r>
            <w:r>
              <w:t>结果</w:t>
            </w:r>
          </w:p>
        </w:tc>
        <w:tc>
          <w:tcPr>
            <w:tcW w:w="64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尚未</w:t>
            </w:r>
            <w:r>
              <w:br/>
            </w:r>
            <w:r>
              <w:t>审结</w:t>
            </w:r>
          </w:p>
        </w:tc>
        <w:tc>
          <w:tcPr>
            <w:tcW w:w="64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总计</w:t>
            </w:r>
          </w:p>
        </w:tc>
        <w:tc>
          <w:tcPr>
            <w:tcW w:w="64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结果</w:t>
            </w:r>
            <w:r>
              <w:br/>
            </w:r>
            <w:r>
              <w:t>维持</w:t>
            </w:r>
          </w:p>
        </w:tc>
        <w:tc>
          <w:tcPr>
            <w:tcW w:w="64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结果</w:t>
            </w:r>
            <w:r>
              <w:br/>
            </w:r>
            <w:r>
              <w:t>纠正</w:t>
            </w:r>
          </w:p>
        </w:tc>
        <w:tc>
          <w:tcPr>
            <w:tcW w:w="64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其他</w:t>
            </w:r>
            <w:r>
              <w:br/>
            </w:r>
            <w:r>
              <w:t>结果</w:t>
            </w:r>
          </w:p>
        </w:tc>
        <w:tc>
          <w:tcPr>
            <w:tcW w:w="64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尚未</w:t>
            </w:r>
            <w:r>
              <w:br/>
            </w:r>
            <w:r>
              <w:t>审结</w:t>
            </w:r>
          </w:p>
        </w:tc>
        <w:tc>
          <w:tcPr>
            <w:tcW w:w="64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1729C0" w:rsidRDefault="001729C0">
            <w:r>
              <w:t>总计</w:t>
            </w:r>
          </w:p>
        </w:tc>
      </w:tr>
      <w:tr w:rsidR="001729C0">
        <w:trPr>
          <w:trHeight w:val="675"/>
        </w:trPr>
        <w:tc>
          <w:tcPr>
            <w:tcW w:w="645" w:type="dxa"/>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c>
          <w:tcPr>
            <w:tcW w:w="645" w:type="dxa"/>
            <w:tcBorders>
              <w:top w:val="nil"/>
              <w:left w:val="nil"/>
              <w:bottom w:val="single" w:sz="8" w:space="0" w:color="auto"/>
              <w:right w:val="single" w:sz="8" w:space="0" w:color="auto"/>
            </w:tcBorders>
            <w:shd w:val="clear" w:color="auto" w:fill="auto"/>
            <w:tcMar>
              <w:left w:w="105" w:type="dxa"/>
              <w:right w:w="105" w:type="dxa"/>
            </w:tcMar>
            <w:vAlign w:val="center"/>
          </w:tcPr>
          <w:p w:rsidR="001729C0" w:rsidRDefault="001729C0">
            <w:r>
              <w:t>0</w:t>
            </w:r>
          </w:p>
        </w:tc>
      </w:tr>
    </w:tbl>
    <w:p w:rsidR="001729C0" w:rsidRDefault="001729C0">
      <w:pPr>
        <w:ind w:firstLine="420"/>
        <w:jc w:val="left"/>
      </w:pPr>
      <w:r>
        <w:rPr>
          <w:rFonts w:hint="eastAsia"/>
        </w:rPr>
        <w:t>五、存在的主要问题及改进情况</w:t>
      </w:r>
    </w:p>
    <w:p w:rsidR="001729C0" w:rsidRDefault="001729C0">
      <w:pPr>
        <w:ind w:firstLine="420"/>
        <w:jc w:val="left"/>
      </w:pPr>
      <w:r>
        <w:t>2022</w:t>
      </w:r>
      <w:r>
        <w:t>年，我局政府信息公开工作取得了一定成效，但也存在不足之处，主要表现在：一是政策解读的方式方法过于单一；二是个别栏目的更新不够及时；三是政府信息公开内容需进一步完善充实。</w:t>
      </w:r>
    </w:p>
    <w:p w:rsidR="001729C0" w:rsidRDefault="001729C0">
      <w:pPr>
        <w:ind w:firstLine="420"/>
        <w:jc w:val="left"/>
      </w:pPr>
      <w:r>
        <w:t>下一步，我们将针对以上不足之处，在</w:t>
      </w:r>
      <w:r>
        <w:t>2023</w:t>
      </w:r>
      <w:r>
        <w:t>年进一步增强公开意识、提高公开质量、强化公开实效、提升公开水平。一是进一步学习《中华人民共和国政府信息公开条例》等文件精神，提升主动意识，依法依规公开规范性文件，不断丰富文件政策解读的方法举措；二是认真负责，做好监测。加强对公开栏目的日常监管，做到常态化查看更新预警栏目，确保所有公开栏目更新及时。三是提升责任意识。按照相关文件要求，不断完善充实信息公开内容和栏目，确保政府信息公开规范、有序、真实、实效。</w:t>
      </w:r>
    </w:p>
    <w:p w:rsidR="001729C0" w:rsidRDefault="001729C0">
      <w:pPr>
        <w:ind w:firstLine="420"/>
        <w:jc w:val="left"/>
      </w:pPr>
      <w:r>
        <w:rPr>
          <w:rFonts w:hint="eastAsia"/>
        </w:rPr>
        <w:t>六、其他需要报告的事项</w:t>
      </w:r>
    </w:p>
    <w:p w:rsidR="001729C0" w:rsidRDefault="001729C0">
      <w:pPr>
        <w:ind w:firstLine="420"/>
        <w:jc w:val="left"/>
      </w:pPr>
      <w:r>
        <w:t>本机关</w:t>
      </w:r>
      <w:r>
        <w:t>2022</w:t>
      </w:r>
      <w:r>
        <w:t>年度未收取政府信息公开信息处理费。</w:t>
      </w:r>
    </w:p>
    <w:p w:rsidR="001729C0" w:rsidRDefault="001729C0">
      <w:pPr>
        <w:jc w:val="right"/>
      </w:pPr>
      <w:r>
        <w:rPr>
          <w:rFonts w:hint="eastAsia"/>
        </w:rPr>
        <w:t>宜宾市信访局</w:t>
      </w:r>
      <w:r>
        <w:rPr>
          <w:rFonts w:hint="eastAsia"/>
        </w:rPr>
        <w:t>2023-01-17</w:t>
      </w:r>
    </w:p>
    <w:p w:rsidR="001729C0" w:rsidRDefault="001729C0" w:rsidP="00AB1C6C">
      <w:pPr>
        <w:sectPr w:rsidR="001729C0" w:rsidSect="00AB1C6C">
          <w:type w:val="continuous"/>
          <w:pgSz w:w="11906" w:h="16838"/>
          <w:pgMar w:top="1644" w:right="1236" w:bottom="1418" w:left="1814" w:header="851" w:footer="907" w:gutter="0"/>
          <w:pgNumType w:start="1"/>
          <w:cols w:space="720"/>
          <w:docGrid w:type="lines" w:linePitch="341" w:charSpace="2373"/>
        </w:sectPr>
      </w:pPr>
    </w:p>
    <w:p w:rsidR="005654B3" w:rsidRDefault="005654B3"/>
    <w:sectPr w:rsidR="005654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729C0"/>
    <w:rsid w:val="001729C0"/>
    <w:rsid w:val="00565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29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729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Company>Microsoft</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2023-02-07T08:38:00Z</dcterms:created>
</cp:coreProperties>
</file>