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397" w:rsidRDefault="00152397">
      <w:pPr>
        <w:pStyle w:val="1"/>
      </w:pPr>
      <w:r>
        <w:rPr>
          <w:rFonts w:hint="eastAsia"/>
        </w:rPr>
        <w:t>黄岩区统计局创新“双全”模式推进投资统计工作增质提效</w:t>
      </w:r>
    </w:p>
    <w:p w:rsidR="00152397" w:rsidRDefault="00152397" w:rsidP="00152397">
      <w:pPr>
        <w:ind w:firstLineChars="200" w:firstLine="420"/>
      </w:pPr>
      <w:r>
        <w:rPr>
          <w:rFonts w:hint="eastAsia"/>
        </w:rPr>
        <w:t>为高质量推进各重大项目落实落地，黄岩区统计局围绕国家、省、市统计工作要求，坚持以项目为引领，以数据质量为基础，创新工作思路，优化统计服务，创新“双全”模式夯实投资统计基础，进一步推进投资统计工作增质提效。</w:t>
      </w:r>
    </w:p>
    <w:p w:rsidR="00152397" w:rsidRDefault="00152397" w:rsidP="00152397">
      <w:pPr>
        <w:ind w:firstLineChars="200" w:firstLine="420"/>
      </w:pPr>
      <w:r>
        <w:rPr>
          <w:rFonts w:hint="eastAsia"/>
        </w:rPr>
        <w:t>全流程跟踪，建立投资项目全生命周期管理机制。在黄岩区打造共同富裕示范区域标杆的时代背景下，区统计局从聚焦重点项目、优化投资结构入手，建立健全“三色”项目、“六未”管理、“九码”联动工作机制，助推“永宁焕新”城市更新行动。一是以“三色”为基准，实时跟进推动项目建设提速增效。加强预警分析，将投资项目按照建设进度进行分类管理，以“三色”项目清单及时更新、定期公布、动态管理为主要着力点，及时针对进度缓慢、明显滞后的黄色项目及红色项目开展预警和督查。围绕项目存在的难点堵点精准施策，凝心聚力帮助企业纾困解难，从而加快项目建设进度，扩大有效投资。二是以“六未”为主线，攻坚克难确保决策部署落实落细。加强部门联动，牢固树立“一盘棋”思想，各司其职、密切合作、形成合力，共同梳理</w:t>
      </w:r>
      <w:r>
        <w:t>2018</w:t>
      </w:r>
      <w:r>
        <w:t>年以来的</w:t>
      </w:r>
      <w:r>
        <w:t>“</w:t>
      </w:r>
      <w:r>
        <w:t>六未</w:t>
      </w:r>
      <w:r>
        <w:t>”</w:t>
      </w:r>
      <w:r>
        <w:t>项目清单。由区发改局、区经科局、区投促中心、市自规黄岩分局、区土地出让办等部门牵头，厘清</w:t>
      </w:r>
      <w:r>
        <w:t>“</w:t>
      </w:r>
      <w:r>
        <w:t>签而未落</w:t>
      </w:r>
      <w:r>
        <w:t>”</w:t>
      </w:r>
      <w:r>
        <w:t>项目、</w:t>
      </w:r>
      <w:r>
        <w:t>“</w:t>
      </w:r>
      <w:r>
        <w:t>批而未供</w:t>
      </w:r>
      <w:r>
        <w:t>”</w:t>
      </w:r>
      <w:r>
        <w:t>项目、</w:t>
      </w:r>
      <w:r>
        <w:t>“</w:t>
      </w:r>
      <w:r>
        <w:t>用而未尽</w:t>
      </w:r>
      <w:r>
        <w:t>”</w:t>
      </w:r>
      <w:r>
        <w:t>项目、</w:t>
      </w:r>
      <w:r>
        <w:t>“</w:t>
      </w:r>
      <w:r>
        <w:t>用而未投</w:t>
      </w:r>
      <w:r>
        <w:t>”</w:t>
      </w:r>
      <w:r>
        <w:t>项目及</w:t>
      </w:r>
      <w:r>
        <w:t>“</w:t>
      </w:r>
      <w:r>
        <w:t>投而未达</w:t>
      </w:r>
      <w:r>
        <w:t>”</w:t>
      </w:r>
      <w:r>
        <w:t>项目等</w:t>
      </w:r>
      <w:r>
        <w:t>“</w:t>
      </w:r>
      <w:r>
        <w:t>六未</w:t>
      </w:r>
      <w:r>
        <w:t>”</w:t>
      </w:r>
      <w:r>
        <w:t>项目的开竣工时间、投资入库情况等基本信息，重点分析目前项目进展情况、存在的问题及下一步的计划，着力破解要素难点堵点，加快重点项目攻坚克难力度，推进全</w:t>
      </w:r>
      <w:r>
        <w:rPr>
          <w:rFonts w:hint="eastAsia"/>
        </w:rPr>
        <w:t>区重大决策部署落实有效。三是以“九码”为纽带，协同配合构建项目闭环管理体系。加强系统谋划，以各主管部门赋予每个投资项目的招商码、土地出让合同码、统一社会信用代码、项目立项代码、建设工程规划许可证代码、施工许可代码、桩基工程先行许可代码、项目入库代码、投产码等“九码”为主要抓手，加快构建项目落地全流程闭环管理体系。强化效率意识，围绕各赋码时间明确节点进度目标，扎实细致推进各赋码环节有效衔接，平稳有序做好攻坚克难工作，一鼓作气按下项目落地“加速键”。</w:t>
      </w:r>
    </w:p>
    <w:p w:rsidR="00152397" w:rsidRDefault="00152397" w:rsidP="00152397">
      <w:pPr>
        <w:ind w:firstLineChars="200" w:firstLine="420"/>
      </w:pPr>
      <w:r>
        <w:rPr>
          <w:rFonts w:hint="eastAsia"/>
        </w:rPr>
        <w:t>全周期核查，夯实投资领域整体数据质量基础。一是前期严格把握入库标准。区统计局高度重视投资项目入库工作，将其作为提升投资领域数据质量的第一道防线。根据浙江省投资项目入库管理办法，一方面加强对于新项目的计划总投资、主要建设内容、土地出让及设备购置合同和发票、施工合同的具体建设内容、开竣工时间等关键信息的审核，保障入库资料的完整性、规范性；另一方面以监测平台为依托，利用龙浩经纬拍、吉林一号卫星地图等工具及时了解项目具体地理信息及现场施工进度，确保项目现场的施工进度达到入库要求。二是中期多措加强数据审核。在报表报送期间，利用“一套表”平台的数据审核功能和人工审核相结合。针对重要指标增速异常或当月投资额过大的项目，要求企业提供在建工程明细、财务账及相关支付凭证，对于数据差错及时督促及指导企业进行错误修正，确保上报数据、统计台账及原始资料三者相互对应。三是后期常态化开展实地核查、调研。区统计局聚焦统计部门的服务特性，着力提升调研走访的成效，为党委政府决策提供更高质量的统计调查服务。打破服务内容的局限性，一方面做好原始资料和统计数据比对工作，定期开展实地核查，做到数据有据；另一方面，鼓励引导企业围绕具体运营情况、相关政策建议与整体市场形势研判等内容发表观点，突破专业思维固化的限制，提升调研的质量。拓展调研走访的方式，在月度常规实地调研及其他专题调研的基础上，注重日常电话调研及问卷调研等线上调研方式，打破专业人员和统计人员间的沟通壁垒，为日常统计工作提供便利。从数据上报的前中后全过程入手，通过全周期数据核查，逐步建立健全常态化闭环式数据审核工作机制，夯实投资领域的数据质量基础。</w:t>
      </w:r>
    </w:p>
    <w:p w:rsidR="00152397" w:rsidRDefault="00152397" w:rsidP="00152397">
      <w:pPr>
        <w:ind w:firstLineChars="200" w:firstLine="420"/>
        <w:jc w:val="right"/>
      </w:pPr>
      <w:r>
        <w:rPr>
          <w:rFonts w:hint="eastAsia"/>
        </w:rPr>
        <w:t>黄岩区统计局</w:t>
      </w:r>
      <w:r>
        <w:rPr>
          <w:rFonts w:hint="eastAsia"/>
        </w:rPr>
        <w:t>2</w:t>
      </w:r>
      <w:r>
        <w:t>022</w:t>
      </w:r>
      <w:r>
        <w:rPr>
          <w:rFonts w:hint="eastAsia"/>
        </w:rPr>
        <w:t>-</w:t>
      </w:r>
      <w:r>
        <w:t>07</w:t>
      </w:r>
      <w:r>
        <w:rPr>
          <w:rFonts w:hint="eastAsia"/>
        </w:rPr>
        <w:t>-</w:t>
      </w:r>
      <w:r>
        <w:t>18</w:t>
      </w:r>
    </w:p>
    <w:p w:rsidR="00152397" w:rsidRDefault="00152397" w:rsidP="00B15DA3">
      <w:pPr>
        <w:sectPr w:rsidR="00152397" w:rsidSect="00B15DA3">
          <w:type w:val="continuous"/>
          <w:pgSz w:w="11906" w:h="16838"/>
          <w:pgMar w:top="1644" w:right="1236" w:bottom="1418" w:left="1814" w:header="851" w:footer="907" w:gutter="0"/>
          <w:pgNumType w:start="1"/>
          <w:cols w:space="425"/>
          <w:docGrid w:type="lines" w:linePitch="341" w:charSpace="2373"/>
        </w:sectPr>
      </w:pPr>
    </w:p>
    <w:p w:rsidR="00D4200E" w:rsidRDefault="00D4200E"/>
    <w:sectPr w:rsidR="00D420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397"/>
    <w:rsid w:val="00152397"/>
    <w:rsid w:val="00D420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23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23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1345</Characters>
  <Application>Microsoft Office Word</Application>
  <DocSecurity>0</DocSecurity>
  <Lines>11</Lines>
  <Paragraphs>3</Paragraphs>
  <ScaleCrop>false</ScaleCrop>
  <Company>Microsoft</Company>
  <LinksUpToDate>false</LinksUpToDate>
  <CharactersWithSpaces>1577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