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41DE" w:rsidRDefault="003D41DE">
      <w:pPr>
        <w:pStyle w:val="1"/>
        <w:spacing w:line="248" w:lineRule="auto"/>
      </w:pPr>
      <w:r>
        <w:rPr>
          <w:rFonts w:hint="eastAsia"/>
        </w:rPr>
        <w:t>济南</w:t>
      </w:r>
      <w:r>
        <w:t>历城区委编办：奋力谱写新时代机构编制工作新篇章</w:t>
      </w:r>
    </w:p>
    <w:p w:rsidR="003D41DE" w:rsidRDefault="003D41DE">
      <w:pPr>
        <w:spacing w:line="248" w:lineRule="auto"/>
        <w:jc w:val="left"/>
      </w:pPr>
      <w:r>
        <w:t xml:space="preserve">　　作为政治机关、服务机关和要素保障机关，历城区委编办立足职能定位，聚焦重点领域体制机制改革，科学配置机构编制资源，持续完善机构职能体系，深入落实区委</w:t>
      </w:r>
      <w:r>
        <w:t>“4433”</w:t>
      </w:r>
      <w:r>
        <w:t>工作推进体系，为产业创新发展提供体制机制保障，为机关事业单位提供优质高效服务，为民生福祉改善提供全方位编制资源支撑。</w:t>
      </w:r>
    </w:p>
    <w:p w:rsidR="003D41DE" w:rsidRDefault="003D41DE">
      <w:pPr>
        <w:spacing w:line="248" w:lineRule="auto"/>
        <w:ind w:firstLine="421"/>
        <w:jc w:val="left"/>
      </w:pPr>
      <w:r>
        <w:t>勤练内功</w:t>
      </w:r>
      <w:r>
        <w:t xml:space="preserve"> </w:t>
      </w:r>
    </w:p>
    <w:p w:rsidR="003D41DE" w:rsidRDefault="003D41DE">
      <w:pPr>
        <w:spacing w:line="248" w:lineRule="auto"/>
        <w:ind w:firstLine="421"/>
        <w:jc w:val="left"/>
      </w:pPr>
      <w:r>
        <w:t>增强本领不断提升战斗堡垒</w:t>
      </w:r>
      <w:r>
        <w:t>“</w:t>
      </w:r>
      <w:r>
        <w:t>坚固度</w:t>
      </w:r>
      <w:r>
        <w:t>”</w:t>
      </w:r>
    </w:p>
    <w:p w:rsidR="003D41DE" w:rsidRDefault="003D41DE">
      <w:pPr>
        <w:spacing w:line="248" w:lineRule="auto"/>
        <w:jc w:val="left"/>
      </w:pPr>
      <w:r>
        <w:t xml:space="preserve">　　历城区委编办不断强化</w:t>
      </w:r>
      <w:r>
        <w:t>“</w:t>
      </w:r>
      <w:r>
        <w:t>党建引领</w:t>
      </w:r>
      <w:r>
        <w:t>”</w:t>
      </w:r>
      <w:r>
        <w:t>组织体系建设，围绕党组织标准化建设、党员教育培训、党风廉政建设等多个方面，持续发力，加压奋进，全力打造</w:t>
      </w:r>
      <w:r>
        <w:t>“</w:t>
      </w:r>
      <w:r>
        <w:t>讲政治、业务精、作风好</w:t>
      </w:r>
      <w:r>
        <w:t>”</w:t>
      </w:r>
      <w:r>
        <w:t>的机构编制工作队伍。</w:t>
      </w:r>
    </w:p>
    <w:p w:rsidR="003D41DE" w:rsidRDefault="003D41DE">
      <w:pPr>
        <w:spacing w:line="248" w:lineRule="auto"/>
        <w:jc w:val="left"/>
      </w:pPr>
      <w:r>
        <w:t xml:space="preserve">　　实行量化赋分和激励机制，开展争做</w:t>
      </w:r>
      <w:r>
        <w:t>“</w:t>
      </w:r>
      <w:r>
        <w:t>四讲四有四合格</w:t>
      </w:r>
      <w:r>
        <w:t>”</w:t>
      </w:r>
      <w:r>
        <w:t>活动，激发党员干部干事创业的内生动力</w:t>
      </w:r>
      <w:r>
        <w:t>;</w:t>
      </w:r>
      <w:r>
        <w:t>深化</w:t>
      </w:r>
      <w:r>
        <w:t>“</w:t>
      </w:r>
      <w:r>
        <w:t>党建</w:t>
      </w:r>
      <w:r>
        <w:t>+</w:t>
      </w:r>
      <w:r>
        <w:t>工作清单</w:t>
      </w:r>
      <w:r>
        <w:t>”</w:t>
      </w:r>
      <w:r>
        <w:t>管理模式，将党建工作与业务工作同谋划、同部署，推进党建工作与业务工作深度融合</w:t>
      </w:r>
      <w:r>
        <w:t>;</w:t>
      </w:r>
      <w:r>
        <w:t>围绕</w:t>
      </w:r>
      <w:r>
        <w:t>“</w:t>
      </w:r>
      <w:r>
        <w:t>服务、效率、规范、落实、学习、快乐</w:t>
      </w:r>
      <w:r>
        <w:t>”</w:t>
      </w:r>
      <w:r>
        <w:t>十二字工作理念，加强干部队伍建设，营造敢于担当作为的工作氛围，不断提升战斗堡垒</w:t>
      </w:r>
      <w:r>
        <w:t>“</w:t>
      </w:r>
      <w:r>
        <w:t>坚固度</w:t>
      </w:r>
      <w:r>
        <w:t>”</w:t>
      </w:r>
      <w:r>
        <w:t>。</w:t>
      </w:r>
    </w:p>
    <w:p w:rsidR="003D41DE" w:rsidRDefault="003D41DE">
      <w:pPr>
        <w:spacing w:line="248" w:lineRule="auto"/>
        <w:ind w:firstLine="421"/>
        <w:jc w:val="left"/>
      </w:pPr>
      <w:r>
        <w:t>围绕中心大局</w:t>
      </w:r>
      <w:r>
        <w:t xml:space="preserve"> </w:t>
      </w:r>
    </w:p>
    <w:p w:rsidR="003D41DE" w:rsidRDefault="003D41DE">
      <w:pPr>
        <w:spacing w:line="248" w:lineRule="auto"/>
        <w:ind w:firstLine="421"/>
        <w:jc w:val="left"/>
      </w:pPr>
      <w:r>
        <w:t>统筹资源配置为高质量发展添动能</w:t>
      </w:r>
    </w:p>
    <w:p w:rsidR="003D41DE" w:rsidRDefault="003D41DE">
      <w:pPr>
        <w:spacing w:line="248" w:lineRule="auto"/>
        <w:jc w:val="left"/>
      </w:pPr>
      <w:r>
        <w:t xml:space="preserve">　　调整优化济南超算数字经济创新圈服务机构，科学设置内设机构，充分发挥其职能作用</w:t>
      </w:r>
      <w:r>
        <w:t>;</w:t>
      </w:r>
      <w:r>
        <w:t>明确济南临港经济开发区管委会承担国际陆港规划建设管理服务工作，增设国际陆港建设发展部，助力贸易物流产业发展</w:t>
      </w:r>
      <w:r>
        <w:t>;</w:t>
      </w:r>
      <w:r>
        <w:t>理顺未成年人保护、企业服务方面体制机制</w:t>
      </w:r>
      <w:r>
        <w:t>;</w:t>
      </w:r>
      <w:r>
        <w:t>加强疾病预防控制、文物保护、金融监管、商务服务、信访等重点领域机构编制力量</w:t>
      </w:r>
      <w:r>
        <w:t>;</w:t>
      </w:r>
      <w:r>
        <w:t>进一步健全完善城市管理、市场监管、文化市场、交通运输、应急管理、农业等领域综合行政执法制度，理顺体制机制，提升行政执法效能</w:t>
      </w:r>
      <w:r>
        <w:t>;</w:t>
      </w:r>
      <w:r>
        <w:t>紧跟全区教育、养老服务发展趋势，强化民生保障，优化资源配置。今年以来，历城区委编办坚持科学统筹、创新管理，自觉担负起服务改革、服务发展、服务大局的重任，充分发挥了机构编制工作的服务保障作用。</w:t>
      </w:r>
    </w:p>
    <w:p w:rsidR="003D41DE" w:rsidRDefault="003D41DE">
      <w:pPr>
        <w:spacing w:line="248" w:lineRule="auto"/>
        <w:jc w:val="left"/>
      </w:pPr>
      <w:r>
        <w:t xml:space="preserve">　　与此同时，探索建立</w:t>
      </w:r>
      <w:r>
        <w:t>“</w:t>
      </w:r>
      <w:r>
        <w:t>保障重点、专编专用、动态管理、分类适用</w:t>
      </w:r>
      <w:r>
        <w:t>”</w:t>
      </w:r>
      <w:r>
        <w:t>的</w:t>
      </w:r>
      <w:r>
        <w:t>“</w:t>
      </w:r>
      <w:r>
        <w:t>稼轩人才编制池</w:t>
      </w:r>
      <w:r>
        <w:t>”</w:t>
      </w:r>
      <w:r>
        <w:t>编制使用管理制度，将用编进人计划前置，不断在</w:t>
      </w:r>
      <w:r>
        <w:t>“</w:t>
      </w:r>
      <w:r>
        <w:t>用</w:t>
      </w:r>
      <w:r>
        <w:t>”</w:t>
      </w:r>
      <w:r>
        <w:t>上做文章、拓渠道、求实效，打造全方位、立体式招才引智</w:t>
      </w:r>
      <w:r>
        <w:t>“</w:t>
      </w:r>
      <w:r>
        <w:t>强磁场</w:t>
      </w:r>
      <w:r>
        <w:t>”</w:t>
      </w:r>
      <w:r>
        <w:t>，实现了以</w:t>
      </w:r>
      <w:r>
        <w:t>“</w:t>
      </w:r>
      <w:r>
        <w:t>小编制</w:t>
      </w:r>
      <w:r>
        <w:t>”</w:t>
      </w:r>
      <w:r>
        <w:t>撬动</w:t>
      </w:r>
      <w:r>
        <w:t>“</w:t>
      </w:r>
      <w:r>
        <w:t>大人才</w:t>
      </w:r>
      <w:r>
        <w:t>”</w:t>
      </w:r>
      <w:r>
        <w:t>。</w:t>
      </w:r>
    </w:p>
    <w:p w:rsidR="003D41DE" w:rsidRDefault="003D41DE">
      <w:pPr>
        <w:spacing w:line="248" w:lineRule="auto"/>
        <w:jc w:val="left"/>
      </w:pPr>
      <w:r>
        <w:t xml:space="preserve">　　将新型研发机构纳入事业单位法人监管范围，支持新型研发机构个性化独立管理，为其提供更加</w:t>
      </w:r>
      <w:r>
        <w:t>“</w:t>
      </w:r>
      <w:r>
        <w:t>有温度</w:t>
      </w:r>
      <w:r>
        <w:t>”</w:t>
      </w:r>
      <w:r>
        <w:t>的监管服务，目前，历城区已完成济南超级计算技术研究院、济南生物医药产业研究院的设立登记，产出成果丰硕，由历城区人民政府与山东大学数学学院合作的济南应用数学高等研究院已进入协议签订阶段。</w:t>
      </w:r>
    </w:p>
    <w:p w:rsidR="003D41DE" w:rsidRDefault="003D41DE">
      <w:pPr>
        <w:spacing w:line="248" w:lineRule="auto"/>
        <w:ind w:firstLine="421"/>
        <w:jc w:val="left"/>
      </w:pPr>
      <w:r>
        <w:t>打造特色品牌</w:t>
      </w:r>
      <w:r>
        <w:t xml:space="preserve"> </w:t>
      </w:r>
    </w:p>
    <w:p w:rsidR="003D41DE" w:rsidRDefault="003D41DE">
      <w:pPr>
        <w:spacing w:line="248" w:lineRule="auto"/>
        <w:ind w:firstLine="421"/>
        <w:jc w:val="left"/>
      </w:pPr>
      <w:r>
        <w:t>全力提升机关运行效能</w:t>
      </w:r>
    </w:p>
    <w:p w:rsidR="003D41DE" w:rsidRDefault="003D41DE">
      <w:pPr>
        <w:spacing w:line="248" w:lineRule="auto"/>
        <w:jc w:val="left"/>
      </w:pPr>
      <w:r>
        <w:t xml:space="preserve">　　为全面促进部门间协同精准高效履职，历城区委编办以打造</w:t>
      </w:r>
      <w:r>
        <w:t>“</w:t>
      </w:r>
      <w:r>
        <w:t>以案释责</w:t>
      </w:r>
      <w:r>
        <w:t>·</w:t>
      </w:r>
      <w:r>
        <w:t>历编力成</w:t>
      </w:r>
      <w:r>
        <w:t>”</w:t>
      </w:r>
      <w:r>
        <w:t>特色工作品牌为抓手，强化区直部门横向联动，明晰区街两级纵向分工，完善重点领域协同配合，构建起职责边界清晰、部门齐抓共管的工作格局。</w:t>
      </w:r>
    </w:p>
    <w:p w:rsidR="003D41DE" w:rsidRDefault="003D41DE">
      <w:pPr>
        <w:spacing w:line="248" w:lineRule="auto"/>
        <w:jc w:val="left"/>
      </w:pPr>
      <w:r>
        <w:t xml:space="preserve">　　值得一提的是，历城区委编办创新打造实景案例式职责界定模式，编纂完成《以案释责》一书，对部门担当作为、履职尽责情况进行生动再现，对部门</w:t>
      </w:r>
      <w:r>
        <w:t>“</w:t>
      </w:r>
      <w:r>
        <w:t>三定</w:t>
      </w:r>
      <w:r>
        <w:t>”</w:t>
      </w:r>
      <w:r>
        <w:t>规定和承担的具体职责进行解读，充分发挥</w:t>
      </w:r>
      <w:r>
        <w:t>“</w:t>
      </w:r>
      <w:r>
        <w:t>以案释责、以案止诿、以案明法</w:t>
      </w:r>
      <w:r>
        <w:t>”</w:t>
      </w:r>
      <w:r>
        <w:t>作用。</w:t>
      </w:r>
    </w:p>
    <w:p w:rsidR="003D41DE" w:rsidRDefault="003D41DE">
      <w:pPr>
        <w:spacing w:line="248" w:lineRule="auto"/>
        <w:jc w:val="left"/>
      </w:pPr>
      <w:r>
        <w:t xml:space="preserve">　　组织开展</w:t>
      </w:r>
      <w:r>
        <w:t>“</w:t>
      </w:r>
      <w:r>
        <w:t>明职责、讲担当、零推诿</w:t>
      </w:r>
      <w:r>
        <w:t>”</w:t>
      </w:r>
      <w:r>
        <w:t>机关创建活动，全区</w:t>
      </w:r>
      <w:r>
        <w:t>14</w:t>
      </w:r>
      <w:r>
        <w:t>个街道、</w:t>
      </w:r>
      <w:r>
        <w:t>64</w:t>
      </w:r>
      <w:r>
        <w:t>个区直部门签订承诺书，通过</w:t>
      </w:r>
      <w:r>
        <w:t>“</w:t>
      </w:r>
      <w:r>
        <w:t>零推诿</w:t>
      </w:r>
      <w:r>
        <w:t>”</w:t>
      </w:r>
      <w:r>
        <w:t>承诺，从根本上彻底解决因职责分工争议导致的运行不畅的问题。</w:t>
      </w:r>
    </w:p>
    <w:p w:rsidR="003D41DE" w:rsidRDefault="003D41DE">
      <w:pPr>
        <w:spacing w:line="248" w:lineRule="auto"/>
        <w:jc w:val="left"/>
      </w:pPr>
      <w:r>
        <w:t xml:space="preserve">　　开展机构编制知识答题活动，通过</w:t>
      </w:r>
      <w:r>
        <w:t>“</w:t>
      </w:r>
      <w:r>
        <w:t>以赛促学、以赛促用</w:t>
      </w:r>
      <w:r>
        <w:t>”</w:t>
      </w:r>
      <w:r>
        <w:t>，切实树牢机构编制法规制度权威。全区</w:t>
      </w:r>
      <w:r>
        <w:t>70</w:t>
      </w:r>
      <w:r>
        <w:t>余个部门</w:t>
      </w:r>
      <w:r>
        <w:t>1877</w:t>
      </w:r>
      <w:r>
        <w:t>名党员干部通过线上答题和线下学习掌握机构编制基本知识，引导全区党员干部时刻绷紧法规制度</w:t>
      </w:r>
      <w:r>
        <w:t>“</w:t>
      </w:r>
      <w:r>
        <w:t>这根弦</w:t>
      </w:r>
      <w:r>
        <w:t>”</w:t>
      </w:r>
      <w:r>
        <w:t>，促进部门明责履职、担当作为。</w:t>
      </w:r>
    </w:p>
    <w:p w:rsidR="003D41DE" w:rsidRDefault="003D41DE">
      <w:pPr>
        <w:spacing w:line="248" w:lineRule="auto"/>
        <w:jc w:val="left"/>
      </w:pPr>
      <w:r>
        <w:t xml:space="preserve">　　下一步，历城区委编办将以党的二十大精神为引领，坚决扛起新时代机构编制工作的使命担当，围绕落实好党的二十大明确的各项改革和服务保障任务，以更宽广的视野、更长远的眼光，推进新时代机构编制工作实现高质量发展，为省会社会主义现代化强区建设提供坚强保障。</w:t>
      </w:r>
    </w:p>
    <w:p w:rsidR="003D41DE" w:rsidRDefault="003D41DE">
      <w:pPr>
        <w:spacing w:line="248" w:lineRule="auto"/>
        <w:ind w:firstLine="421"/>
        <w:jc w:val="left"/>
      </w:pPr>
      <w:r>
        <w:t>(</w:t>
      </w:r>
      <w:r>
        <w:t>本报记者张敏</w:t>
      </w:r>
      <w:r>
        <w:t xml:space="preserve"> </w:t>
      </w:r>
      <w:r>
        <w:t>通讯员宋自勉</w:t>
      </w:r>
      <w:r>
        <w:t>)</w:t>
      </w:r>
    </w:p>
    <w:p w:rsidR="003D41DE" w:rsidRDefault="003D41DE">
      <w:pPr>
        <w:spacing w:line="248" w:lineRule="auto"/>
        <w:ind w:firstLine="421"/>
        <w:jc w:val="right"/>
      </w:pPr>
      <w:r>
        <w:t xml:space="preserve"> </w:t>
      </w:r>
      <w:r>
        <w:t>济南日报</w:t>
      </w:r>
      <w:r>
        <w:t>2022-12-15</w:t>
      </w:r>
    </w:p>
    <w:p w:rsidR="003D41DE" w:rsidRDefault="003D41DE" w:rsidP="000D0ADE">
      <w:pPr>
        <w:sectPr w:rsidR="003D41DE" w:rsidSect="000D0ADE">
          <w:type w:val="continuous"/>
          <w:pgSz w:w="11906" w:h="16838"/>
          <w:pgMar w:top="1644" w:right="1236" w:bottom="1418" w:left="1814" w:header="851" w:footer="907" w:gutter="0"/>
          <w:pgNumType w:start="1"/>
          <w:cols w:space="425"/>
          <w:docGrid w:type="lines" w:linePitch="341" w:charSpace="2373"/>
        </w:sectPr>
      </w:pPr>
    </w:p>
    <w:p w:rsidR="001A0AF8" w:rsidRDefault="001A0AF8"/>
    <w:sectPr w:rsidR="001A0A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41DE"/>
    <w:rsid w:val="001A0AF8"/>
    <w:rsid w:val="003D41D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D41D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3D41D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1394</Characters>
  <Application>Microsoft Office Word</Application>
  <DocSecurity>0</DocSecurity>
  <Lines>11</Lines>
  <Paragraphs>3</Paragraphs>
  <ScaleCrop>false</ScaleCrop>
  <Company>Microsoft</Company>
  <LinksUpToDate>false</LinksUpToDate>
  <CharactersWithSpaces>1635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2023-02-06T06:08:00Z</dcterms:created>
</cp:coreProperties>
</file>