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7D96" w:rsidRDefault="00E17D96" w:rsidP="00386D2F">
      <w:pPr>
        <w:pStyle w:val="1"/>
      </w:pPr>
      <w:r w:rsidRPr="00386D2F">
        <w:rPr>
          <w:rFonts w:hint="eastAsia"/>
        </w:rPr>
        <w:t>以会展促消费，助力天津国际消费中心城市建设</w:t>
      </w:r>
    </w:p>
    <w:p w:rsidR="00E17D96" w:rsidRDefault="00E17D96" w:rsidP="00E17D96">
      <w:pPr>
        <w:ind w:firstLineChars="200" w:firstLine="420"/>
      </w:pPr>
      <w:r>
        <w:rPr>
          <w:rFonts w:hint="eastAsia"/>
        </w:rPr>
        <w:t>作者：刘斌斌（天津外国语大学国际商学院党委副书记、副院长，国际消费中心城市研究中心研究员）；牛蕊（天津外国语大学国际商学院教授，国际消费中心城市研究中心研究员，“一带一路”天津战略研究院研究员，天津市中国特色社会主义理论体系研究中心外国语大学基地研究员）</w:t>
      </w:r>
    </w:p>
    <w:p w:rsidR="00E17D96" w:rsidRDefault="00E17D96" w:rsidP="00E17D96">
      <w:pPr>
        <w:ind w:firstLineChars="200" w:firstLine="420"/>
      </w:pPr>
      <w:r>
        <w:t>2021</w:t>
      </w:r>
      <w:r>
        <w:t>年</w:t>
      </w:r>
      <w:r>
        <w:t>7</w:t>
      </w:r>
      <w:r>
        <w:t>月，经国务院批准，天津成为首批国际消费中心城市培育建设五个城市之一。天津要打造成为面向东北亚、辐射俄罗斯和中东欧的特色型国际消费中心城市。在已经公布的培育建设国际消费中心城市实施方案中，天津围绕商圈、品牌、直播等关键词构建了国际消费中心城市的相关建设规划，构建起强大消费实现功能，最终成为能持续跃升的消费资源聚集地、国内外闻名的文化旅游目的地、繁荣繁华的商业创新城市和交通畅达的流通枢纽城市。</w:t>
      </w:r>
    </w:p>
    <w:p w:rsidR="00E17D96" w:rsidRDefault="00E17D96" w:rsidP="00E17D96">
      <w:pPr>
        <w:ind w:firstLineChars="200" w:firstLine="420"/>
      </w:pPr>
      <w:r>
        <w:rPr>
          <w:rFonts w:hint="eastAsia"/>
        </w:rPr>
        <w:t>随着后工业时代的悄然来临，消费对区域和国家经济增长的贡献度越来越大，培育建设国际消费中心城市不仅有利于促进城市和地方经济高质量发展，而且也意味着成为全球消费资源集聚地和消费创新风向标。国际消费中心城市不仅需要在以社会消费品零售总额为基础指标的衡量中表现出消费实力和巨大潜力市场，而且还需要体现出城市国际化程度和对外开放程度，在政治、经济、文化上具有全球影响力和周边辐射带动力。</w:t>
      </w:r>
      <w:r>
        <w:t>2021</w:t>
      </w:r>
      <w:r>
        <w:t>年《天津消费市场发展洞察白皮书》显示，</w:t>
      </w:r>
      <w:r>
        <w:t>2016-2019</w:t>
      </w:r>
      <w:r>
        <w:t>年社会消费品零售总额年均增长</w:t>
      </w:r>
      <w:r>
        <w:t>1.6%</w:t>
      </w:r>
      <w:r>
        <w:t>，</w:t>
      </w:r>
      <w:r>
        <w:t>2021</w:t>
      </w:r>
      <w:r>
        <w:t>年上半年天津社会消费品</w:t>
      </w:r>
      <w:r>
        <w:rPr>
          <w:rFonts w:hint="eastAsia"/>
        </w:rPr>
        <w:t>零售总额同比增长</w:t>
      </w:r>
      <w:r>
        <w:t>17.2%</w:t>
      </w:r>
      <w:r>
        <w:t>。天津的人均社会消费品零售总额总体平稳在</w:t>
      </w:r>
      <w:r>
        <w:t>3</w:t>
      </w:r>
      <w:r>
        <w:t>万元左右，</w:t>
      </w:r>
      <w:r>
        <w:t>2020</w:t>
      </w:r>
      <w:r>
        <w:t>年天津人均消费支出</w:t>
      </w:r>
      <w:r>
        <w:t>28461</w:t>
      </w:r>
      <w:r>
        <w:t>元，高出全国平均水平</w:t>
      </w:r>
      <w:r>
        <w:t>7251</w:t>
      </w:r>
      <w:r>
        <w:t>元。值得注意的是，</w:t>
      </w:r>
      <w:r>
        <w:t>2021</w:t>
      </w:r>
      <w:r>
        <w:t>年前三季度，国货郁美净销售额同比增长</w:t>
      </w:r>
      <w:r>
        <w:t>30.8%</w:t>
      </w:r>
      <w:r>
        <w:t>，津门老字号瑞蚨祥、老美华、狗不理销售额同比分别增长</w:t>
      </w:r>
      <w:r>
        <w:t>45.6%</w:t>
      </w:r>
      <w:r>
        <w:t>、</w:t>
      </w:r>
      <w:r>
        <w:t>22.2%</w:t>
      </w:r>
      <w:r>
        <w:t>和</w:t>
      </w:r>
      <w:r>
        <w:t>21.7%</w:t>
      </w:r>
      <w:r>
        <w:t>，销售成绩非常亮眼。随着今年国家会展中心（天津）二期展馆的建成启用，天津会展经济将进入发展快车道。结合以往成功举办的绿色智慧建筑博览会、中国（天津）国际汽车展览会、全国糖酒商品交易会等大型展会所取得的良好社会和经</w:t>
      </w:r>
      <w:r>
        <w:rPr>
          <w:rFonts w:hint="eastAsia"/>
        </w:rPr>
        <w:t>济效益，会展经济逐渐成为助力天津消费经济发展和国际消费中心城市建设一个必不可少的重要组成部分。</w:t>
      </w:r>
    </w:p>
    <w:p w:rsidR="00E17D96" w:rsidRDefault="00E17D96" w:rsidP="00E17D96">
      <w:pPr>
        <w:ind w:firstLineChars="200" w:firstLine="420"/>
      </w:pPr>
      <w:r>
        <w:rPr>
          <w:rFonts w:hint="eastAsia"/>
        </w:rPr>
        <w:t>目前天津的会展发展与促进消费之间仍存在一些不足，具体表现为：第一，会展硬件条件显著优于软环境，通过会展转化为实际消费的转化效率不高。基于现有的交通、工业基础和开放格局，天津的会展规模越来越大，但是与之相关联的服务意识和服务水平尚不能与之完全匹配，未能很好地体现出营商环境的亲商和暖商氛围。同时，会展在拉动消费的过程中，只针对终端产品，缺少产业链条的全覆盖，实际消费的转化效率不高。第二，现有的会展内容和形式存在明显的同质性，未能与天津及其辐射的东北亚地区的地域特色、本土品牌及地区差异化消费需求很好地结合，尚未形成天津会展品牌并拉动区域内外消费。根据</w:t>
      </w:r>
      <w:r>
        <w:t>2021</w:t>
      </w:r>
      <w:r>
        <w:t>年《天津消费市场发展洞察白皮书》的数据显示，天津消费市场中虽然家电及消费电子产品仍占主体，但比重有所下降；母婴、食品、生鲜等消费同比明显上涨，同时提升生活品质文化娱乐类相关消费成倍增长。天津周边省份的消费则更多依托于旅游服务、医疗服务消费。天津所辐射的东北亚地区国家针对中国的消费则集中于手机、电脑等电子类产品。区域消费的明显偏好差异在会展需求中更加要求差异化内容的对接。第三，针对不同消费群体和体现数字经济特点的差异化会展有限。目前</w:t>
      </w:r>
      <w:r>
        <w:t>95</w:t>
      </w:r>
      <w:r>
        <w:t>后这一个性和兴趣鲜明且更</w:t>
      </w:r>
      <w:r>
        <w:rPr>
          <w:rFonts w:hint="eastAsia"/>
        </w:rPr>
        <w:t>具多元化特征的年轻人群体逐渐成为消费的主体，消费潜力在逐渐释放，更多地体现出数字时代的消费发展新趋势。现有的会展更多地集中在以汽车等为主的传统消费品，针对以信息技术和数字技术为基础的产业链条的各种数字产品和服务的会展有待扩展。</w:t>
      </w:r>
    </w:p>
    <w:p w:rsidR="00E17D96" w:rsidRDefault="00E17D96" w:rsidP="00E17D96">
      <w:pPr>
        <w:ind w:firstLineChars="200" w:firstLine="420"/>
      </w:pPr>
      <w:r>
        <w:rPr>
          <w:rFonts w:hint="eastAsia"/>
        </w:rPr>
        <w:t>基于以上分析，可以从以下几方面提升会展消费：首先，依托地理位置、历史文化、产业基础等特点，提高服务水平，举办提供多样化优质商品和服务供给的会展，增加文化体验活动，营造良好的会展消费环境。同时利用天津自贸区和保税港的便利措施提高会展仓储、包装等便利化水平，提高会展转化为消费的效率。其次，多元融合构建天津会展品牌，促进消费中心城市建设。在现有会展的基础上，利用线上与线下两种会展形式，如智慧购物场景、体验式消费场景等，打造具有天津特色和标志的会展品牌。针对本地和周边省份的消费特点，与文化服务、旅游服务融合，举办突出天津不同地理区域商圈受众群体的差异化消费会展；针对东北亚周边国家，贴合国家消费需求偏好，充分盘活天津本土电子商务企业，引入国内外传统品牌、非遗老字号品牌定向举办会展，实现买卖双向共赢。再次，以会展促进城市产业转型，以生产性服务业发展为依托实现产业的升级联动。</w:t>
      </w:r>
    </w:p>
    <w:p w:rsidR="00E17D96" w:rsidRDefault="00E17D96" w:rsidP="00E17D96">
      <w:pPr>
        <w:ind w:firstLineChars="200" w:firstLine="420"/>
      </w:pPr>
      <w:r>
        <w:rPr>
          <w:rFonts w:hint="eastAsia"/>
        </w:rPr>
        <w:t>天津要成为全球消费资源集聚地和消费创新风向标，离不开创新和高素质人才。天津要充分吸引国内高素质会展和创新人才的流入，用人才激发创新，引领全球消费的方向。例如，以天津现有的医疗科技行业发展为依托，举办更多医疗器械、中医中药、智慧医疗城市等主题的展会，带动与之关联的零售、旅游、养老、健康等产业的消费。通过会展与消费的有效互动，实现天津、全国乃至东北亚地区商品和服务的互通互联，建设具有世界范围影响力的消费中心城市。</w:t>
      </w:r>
    </w:p>
    <w:p w:rsidR="00E17D96" w:rsidRDefault="00E17D96" w:rsidP="00E17D96">
      <w:pPr>
        <w:ind w:firstLineChars="200" w:firstLine="420"/>
        <w:jc w:val="right"/>
      </w:pPr>
      <w:r w:rsidRPr="00386D2F">
        <w:rPr>
          <w:rFonts w:hint="eastAsia"/>
        </w:rPr>
        <w:t>光明网</w:t>
      </w:r>
      <w:r>
        <w:rPr>
          <w:rFonts w:hint="eastAsia"/>
        </w:rPr>
        <w:t>2022-11-14</w:t>
      </w:r>
    </w:p>
    <w:p w:rsidR="00E17D96" w:rsidRDefault="00E17D96" w:rsidP="00FE63D2">
      <w:pPr>
        <w:sectPr w:rsidR="00E17D96" w:rsidSect="00FE63D2">
          <w:type w:val="continuous"/>
          <w:pgSz w:w="11906" w:h="16838" w:code="9"/>
          <w:pgMar w:top="1644" w:right="1236" w:bottom="1418" w:left="1814" w:header="851" w:footer="907" w:gutter="0"/>
          <w:pgNumType w:start="1"/>
          <w:cols w:space="425"/>
          <w:docGrid w:type="lines" w:linePitch="341" w:charSpace="2373"/>
        </w:sectPr>
      </w:pPr>
    </w:p>
    <w:p w:rsidR="009745D3" w:rsidRDefault="009745D3"/>
    <w:sectPr w:rsidR="009745D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17D96"/>
    <w:rsid w:val="009745D3"/>
    <w:rsid w:val="00E17D9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17D9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17D9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320</Words>
  <Characters>1825</Characters>
  <Application>Microsoft Office Word</Application>
  <DocSecurity>0</DocSecurity>
  <Lines>15</Lines>
  <Paragraphs>4</Paragraphs>
  <ScaleCrop>false</ScaleCrop>
  <Company>Microsoft</Company>
  <LinksUpToDate>false</LinksUpToDate>
  <CharactersWithSpaces>2141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2023-01-28T07:47:00Z</dcterms:created>
</cp:coreProperties>
</file>