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35CB" w:rsidRDefault="005635CB" w:rsidP="003D5BA9">
      <w:pPr>
        <w:pStyle w:val="1"/>
        <w:rPr>
          <w:rFonts w:hAnsi="黑体"/>
        </w:rPr>
      </w:pPr>
      <w:r w:rsidRPr="003D5BA9">
        <w:rPr>
          <w:rFonts w:hAnsi="黑体"/>
        </w:rPr>
        <w:t>蜀山区“四个推进”强化信用监管赋能 高质量发展</w:t>
      </w:r>
    </w:p>
    <w:p w:rsidR="005635CB" w:rsidRDefault="005635CB" w:rsidP="005635CB">
      <w:pPr>
        <w:ind w:firstLineChars="200" w:firstLine="420"/>
      </w:pPr>
      <w:r>
        <w:rPr>
          <w:rFonts w:hint="eastAsia"/>
        </w:rPr>
        <w:t>蜀山区积极围绕社会信用体系建设工作，立足职责定位，发挥职能作用，建立和完善以“双随机、一公开”为基本手段，以信用监管为基础，以重点监管为补充的事中事后监管新机制，把握关键环节，不断增强市场主体信用监管力度，推进社会信用体系建设工作有序深入进行。</w:t>
      </w:r>
    </w:p>
    <w:p w:rsidR="005635CB" w:rsidRDefault="005635CB" w:rsidP="005635CB">
      <w:pPr>
        <w:ind w:firstLineChars="200" w:firstLine="420"/>
      </w:pPr>
      <w:r>
        <w:rPr>
          <w:rFonts w:hint="eastAsia"/>
        </w:rPr>
        <w:t>一是推进信息归集共享。严格信用信息规范，构建便捷信用信息归集途径，强化信用信息共享，推进信用信息应用，实现了信用信息归集共享的全面、规范、持续开展。</w:t>
      </w:r>
      <w:r>
        <w:t>2021</w:t>
      </w:r>
      <w:r>
        <w:t>年，该区共梳理产生行政许可信息</w:t>
      </w:r>
      <w:r>
        <w:t>5032</w:t>
      </w:r>
      <w:r>
        <w:t>条、行政处罚</w:t>
      </w:r>
      <w:r>
        <w:t>263</w:t>
      </w:r>
      <w:r>
        <w:t>条，已全部录入信用信息监管平台，推进涉企信息归集共享。</w:t>
      </w:r>
    </w:p>
    <w:p w:rsidR="005635CB" w:rsidRDefault="005635CB" w:rsidP="005635CB">
      <w:pPr>
        <w:ind w:firstLineChars="200" w:firstLine="420"/>
      </w:pPr>
      <w:r>
        <w:rPr>
          <w:rFonts w:hint="eastAsia"/>
        </w:rPr>
        <w:t>二是推进年报信息公示。年报公示工作是商事制度改革以来市场监管部门加强事中事后监管的一项基础性工作，在促进企业自律、扩大社会监督、推动监管方式创新等方面发挥着重要作用。该区市场监管部门采取多种方式开展年报公示工作，培养企业自觉年报意识，形成“一处违法、处处受限”的全社会监督、约束、管理机制。</w:t>
      </w:r>
      <w:r>
        <w:t>2021</w:t>
      </w:r>
      <w:r>
        <w:t>年，蜀山区</w:t>
      </w:r>
      <w:r>
        <w:t>77192</w:t>
      </w:r>
      <w:r>
        <w:t>户市场主体完成年报公示，年报率达</w:t>
      </w:r>
      <w:r>
        <w:t>86.44%</w:t>
      </w:r>
      <w:r>
        <w:t>，居四城区第一。</w:t>
      </w:r>
      <w:r>
        <w:t>1.3</w:t>
      </w:r>
      <w:r>
        <w:t>万户市场主体未按时完成年报的市场主体被依法纳入异常名录，并通过全国信用信息系统公示。</w:t>
      </w:r>
    </w:p>
    <w:p w:rsidR="005635CB" w:rsidRDefault="005635CB" w:rsidP="005635CB">
      <w:pPr>
        <w:ind w:firstLineChars="200" w:firstLine="420"/>
      </w:pPr>
      <w:r>
        <w:rPr>
          <w:rFonts w:hint="eastAsia"/>
        </w:rPr>
        <w:t>三是推进抽查事项清单。制订出台联合抽查事项清单，包含</w:t>
      </w:r>
      <w:r>
        <w:t>91</w:t>
      </w:r>
      <w:r>
        <w:t>项抽查工作计划</w:t>
      </w:r>
      <w:r>
        <w:t>111</w:t>
      </w:r>
      <w:r>
        <w:t>项抽查事项，是从市场监管领域</w:t>
      </w:r>
      <w:r>
        <w:t>19</w:t>
      </w:r>
      <w:r>
        <w:t>个部门各自的抽查事项清单中，按照检查领域、检查对象一致的原则选取的，其中很多属于以往检查频次较高的事项。同时，推动建立健全联合抽查工作模式，形成常态化，真正实现</w:t>
      </w:r>
      <w:r>
        <w:t>“</w:t>
      </w:r>
      <w:r>
        <w:t>进一次门、查多项事</w:t>
      </w:r>
      <w:r>
        <w:t>”</w:t>
      </w:r>
      <w:r>
        <w:t>，避免对企业自主经营的不当干扰。</w:t>
      </w:r>
      <w:r>
        <w:t>2021</w:t>
      </w:r>
      <w:r>
        <w:t>年，蜀山区完成</w:t>
      </w:r>
      <w:r>
        <w:t>30</w:t>
      </w:r>
      <w:r>
        <w:t>项联合抽查工作计划、</w:t>
      </w:r>
      <w:r>
        <w:t>30</w:t>
      </w:r>
      <w:r>
        <w:t>项联合抽查事项，完成率达</w:t>
      </w:r>
      <w:r>
        <w:t>100</w:t>
      </w:r>
      <w:r>
        <w:t>％。</w:t>
      </w:r>
    </w:p>
    <w:p w:rsidR="005635CB" w:rsidRDefault="005635CB" w:rsidP="005635CB">
      <w:pPr>
        <w:ind w:firstLineChars="200" w:firstLine="420"/>
      </w:pPr>
      <w:r>
        <w:rPr>
          <w:rFonts w:hint="eastAsia"/>
        </w:rPr>
        <w:t>四是推进企业信用修复。为营造良好信用环境，推动建立自我纠错、主动更新的社会鼓励和关爱机制，该区市场监管局建立健全行政处罚信息信用修复工作机制，指导企业依法通过书面承诺、补报年报等方式积极开展信用修复。</w:t>
      </w:r>
      <w:r>
        <w:t>2021</w:t>
      </w:r>
      <w:r>
        <w:t>年，共受理企业信用修复材料</w:t>
      </w:r>
      <w:r>
        <w:t>777</w:t>
      </w:r>
      <w:r>
        <w:t>份，依法信用修复企业</w:t>
      </w:r>
      <w:r>
        <w:t>708</w:t>
      </w:r>
      <w:r>
        <w:t>家。</w:t>
      </w:r>
    </w:p>
    <w:p w:rsidR="005635CB" w:rsidRPr="003D51EC" w:rsidRDefault="005635CB" w:rsidP="003D51EC">
      <w:pPr>
        <w:jc w:val="right"/>
      </w:pPr>
      <w:r>
        <w:rPr>
          <w:rFonts w:hint="eastAsia"/>
        </w:rPr>
        <w:t>蜀山区人民政府网站</w:t>
      </w:r>
      <w:r>
        <w:t>2022-02-09</w:t>
      </w:r>
    </w:p>
    <w:p w:rsidR="005635CB" w:rsidRDefault="005635CB" w:rsidP="006117DC">
      <w:pPr>
        <w:rPr>
          <w:shd w:val="clear" w:color="auto" w:fill="FFFFFF"/>
        </w:rPr>
        <w:sectPr w:rsidR="005635CB" w:rsidSect="006117DC">
          <w:type w:val="continuous"/>
          <w:pgSz w:w="11906" w:h="16838"/>
          <w:pgMar w:top="1644" w:right="1236" w:bottom="1418" w:left="1814" w:header="851" w:footer="907" w:gutter="0"/>
          <w:pgNumType w:start="1"/>
          <w:cols w:space="720"/>
          <w:docGrid w:type="lines" w:linePitch="341" w:charSpace="2373"/>
        </w:sectPr>
      </w:pPr>
    </w:p>
    <w:p w:rsidR="006A3EA2" w:rsidRDefault="006A3EA2"/>
    <w:sectPr w:rsidR="006A3E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635CB"/>
    <w:rsid w:val="005635CB"/>
    <w:rsid w:val="006A3E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635C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635C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131</Words>
  <Characters>747</Characters>
  <Application>Microsoft Office Word</Application>
  <DocSecurity>0</DocSecurity>
  <Lines>6</Lines>
  <Paragraphs>1</Paragraphs>
  <ScaleCrop>false</ScaleCrop>
  <Company>微软中国</Company>
  <LinksUpToDate>false</LinksUpToDate>
  <CharactersWithSpaces>877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2022-11-23T02:38:00Z</dcterms:created>
</cp:coreProperties>
</file>