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5DF" w:rsidRDefault="003E35DF">
      <w:pPr>
        <w:pStyle w:val="1"/>
      </w:pPr>
      <w:r>
        <w:rPr>
          <w:rFonts w:hint="eastAsia"/>
        </w:rPr>
        <w:t>淮安财政：开展财政资金竞争性存放</w:t>
      </w:r>
      <w:r>
        <w:t xml:space="preserve"> 提升政府</w:t>
      </w:r>
      <w:r>
        <w:t>“</w:t>
      </w:r>
      <w:r>
        <w:t>钱袋子</w:t>
      </w:r>
      <w:r>
        <w:t>”</w:t>
      </w:r>
      <w:r>
        <w:t>运行综合效益</w:t>
      </w:r>
    </w:p>
    <w:p w:rsidR="003E35DF" w:rsidRDefault="003E35DF">
      <w:r>
        <w:t xml:space="preserve">    </w:t>
      </w:r>
      <w:r>
        <w:t>为进一步规范市级财政资金存放管理，促进财政专户间歇资金的保值增值，淮安财政先后于</w:t>
      </w:r>
      <w:r>
        <w:t>2021</w:t>
      </w:r>
      <w:r>
        <w:t>年和</w:t>
      </w:r>
      <w:r>
        <w:t>2022</w:t>
      </w:r>
      <w:r>
        <w:t>年</w:t>
      </w:r>
      <w:r>
        <w:t>7</w:t>
      </w:r>
      <w:r>
        <w:t>月分两期开展市本级财政专户间隙资金定期存放公开招标活动，累计招标金额达</w:t>
      </w:r>
      <w:r>
        <w:t>69.65</w:t>
      </w:r>
      <w:r>
        <w:t>亿元，收益提升了</w:t>
      </w:r>
      <w:r>
        <w:t>1.91</w:t>
      </w:r>
      <w:r>
        <w:t>倍。</w:t>
      </w:r>
    </w:p>
    <w:p w:rsidR="003E35DF" w:rsidRDefault="003E35DF">
      <w:r>
        <w:t xml:space="preserve">    </w:t>
      </w:r>
      <w:r>
        <w:t>一是紧拉制度之</w:t>
      </w:r>
      <w:r>
        <w:t>“</w:t>
      </w:r>
      <w:r>
        <w:t>绳</w:t>
      </w:r>
      <w:r>
        <w:t>”</w:t>
      </w:r>
      <w:r>
        <w:t>。完善财政专户间隙资金存放管理制度体系，先后出台《淮安市本级财政资金存放管理实施办法》《淮安市本级财政专户间隙资金竞争性存放实施细则（试行）》等文件，提高贡献性分值，对服务地方经济社会发展、支持乡村振兴的投标银行进行政策激励，两年来中标银行在制造业、小微企业、涉农行业等重点领域贷款投放增幅达</w:t>
      </w:r>
      <w:r>
        <w:t>45.05%</w:t>
      </w:r>
      <w:r>
        <w:t>。</w:t>
      </w:r>
    </w:p>
    <w:p w:rsidR="003E35DF" w:rsidRDefault="003E35DF">
      <w:r>
        <w:t xml:space="preserve">    </w:t>
      </w:r>
      <w:r>
        <w:t>二是善用指标之</w:t>
      </w:r>
      <w:r>
        <w:t>“</w:t>
      </w:r>
      <w:r>
        <w:t>手</w:t>
      </w:r>
      <w:r>
        <w:t>”</w:t>
      </w:r>
      <w:r>
        <w:t>。采用综合评分法，评价指标涵盖收益性、安全性和贡献性三个方面，分别占总分值的</w:t>
      </w:r>
      <w:r>
        <w:t>30%</w:t>
      </w:r>
      <w:r>
        <w:t>、</w:t>
      </w:r>
      <w:r>
        <w:t>20%</w:t>
      </w:r>
      <w:r>
        <w:t>和</w:t>
      </w:r>
      <w:r>
        <w:t>50%</w:t>
      </w:r>
      <w:r>
        <w:t>。根据投标银行上年高质量跨越发展考核结果、受市委市政府表彰情况和为全市国有企业提供贷款综合融资成本率，进行加分激励；对投标银行上年服务工作，进行扣分约束。</w:t>
      </w:r>
    </w:p>
    <w:p w:rsidR="003E35DF" w:rsidRDefault="003E35DF">
      <w:r>
        <w:t xml:space="preserve">    </w:t>
      </w:r>
      <w:r>
        <w:t>三是规范招标之</w:t>
      </w:r>
      <w:r>
        <w:t>“</w:t>
      </w:r>
      <w:r>
        <w:t>程</w:t>
      </w:r>
      <w:r>
        <w:t>”</w:t>
      </w:r>
      <w:r>
        <w:t>。凡依法在淮安市开展存款业务的商业和政策性银行均可参加投标，组建由人大、审计、人行、税务等专业人员组成的评标委员会，当场开标、唱标、评标，邀请市纪委派驻纪检监察组全程监督，及时公布评标结果，招标公告和中标结果均在网上公开，确保公平公正、公开透明。</w:t>
      </w:r>
    </w:p>
    <w:p w:rsidR="003E35DF" w:rsidRDefault="003E35DF">
      <w:r>
        <w:t xml:space="preserve">    </w:t>
      </w:r>
      <w:r>
        <w:t>四是严控资金之</w:t>
      </w:r>
      <w:r>
        <w:t>“</w:t>
      </w:r>
      <w:r>
        <w:t>险</w:t>
      </w:r>
      <w:r>
        <w:t>”</w:t>
      </w:r>
      <w:r>
        <w:t>。招标引入质押品担保和廉政承诺机制，中标银行需出具</w:t>
      </w:r>
      <w:r>
        <w:t>“</w:t>
      </w:r>
      <w:r>
        <w:t>质押品担保函</w:t>
      </w:r>
      <w:r>
        <w:t>”</w:t>
      </w:r>
      <w:r>
        <w:t>和</w:t>
      </w:r>
      <w:r>
        <w:t>“</w:t>
      </w:r>
      <w:r>
        <w:t>廉政承诺书</w:t>
      </w:r>
      <w:r>
        <w:t>”</w:t>
      </w:r>
      <w:r>
        <w:t>。质押品包括记账式国债或江苏省政府债券，质押债券面值分别为中标金额的</w:t>
      </w:r>
      <w:r>
        <w:t>105%</w:t>
      </w:r>
      <w:r>
        <w:t>和</w:t>
      </w:r>
      <w:r>
        <w:t>115%</w:t>
      </w:r>
      <w:r>
        <w:t>；中标银行书面承诺中标的定期存款，不纳入本行经办营业机构（网点）业绩考核，不与本行职员个人任务考核和收入挂钩，不向其他相关人员或机构支付任何费用。</w:t>
      </w:r>
    </w:p>
    <w:p w:rsidR="003E35DF" w:rsidRDefault="003E35DF">
      <w:pPr>
        <w:jc w:val="right"/>
      </w:pPr>
      <w:r>
        <w:rPr>
          <w:rFonts w:hint="eastAsia"/>
        </w:rPr>
        <w:t>江苏省财政厅</w:t>
      </w:r>
      <w:r>
        <w:t xml:space="preserve">2022-09-06 </w:t>
      </w:r>
    </w:p>
    <w:p w:rsidR="003E35DF" w:rsidRDefault="003E35DF" w:rsidP="00906C99">
      <w:pPr>
        <w:sectPr w:rsidR="003E35DF" w:rsidSect="00906C99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E2F03" w:rsidRDefault="005E2F03"/>
    <w:sectPr w:rsidR="005E2F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E35DF"/>
    <w:rsid w:val="003E35DF"/>
    <w:rsid w:val="005E2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E35D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E35D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</Words>
  <Characters>667</Characters>
  <Application>Microsoft Office Word</Application>
  <DocSecurity>0</DocSecurity>
  <Lines>5</Lines>
  <Paragraphs>1</Paragraphs>
  <ScaleCrop>false</ScaleCrop>
  <Company>微软中国</Company>
  <LinksUpToDate>false</LinksUpToDate>
  <CharactersWithSpaces>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2022-11-24T08:19:00Z</dcterms:created>
</cp:coreProperties>
</file>