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25DA" w:rsidRDefault="005325DA" w:rsidP="00BD0113">
      <w:pPr>
        <w:pStyle w:val="1"/>
      </w:pPr>
      <w:r w:rsidRPr="00D70B1D">
        <w:rPr>
          <w:rFonts w:hint="eastAsia"/>
        </w:rPr>
        <w:t>卧龙区财政局：“五个确保”强化涉农资金监督管理</w:t>
      </w:r>
    </w:p>
    <w:p w:rsidR="005325DA" w:rsidRDefault="005325DA" w:rsidP="005325DA">
      <w:pPr>
        <w:ind w:firstLineChars="200" w:firstLine="420"/>
      </w:pPr>
      <w:r>
        <w:rPr>
          <w:rFonts w:hint="eastAsia"/>
        </w:rPr>
        <w:t>近年来，卧龙区财政局精准把握实施乡村振兴战略的总体要求，认真贯彻落实各类强农惠农政策，积极探索完善涉农资金管理机制，不断提升涉农资金管理水平，确保涉农资金安全、规范、高效运行。</w:t>
      </w:r>
    </w:p>
    <w:p w:rsidR="005325DA" w:rsidRDefault="005325DA" w:rsidP="005325DA">
      <w:pPr>
        <w:ind w:firstLineChars="200" w:firstLine="420"/>
      </w:pPr>
      <w:r>
        <w:rPr>
          <w:rFonts w:hint="eastAsia"/>
        </w:rPr>
        <w:t>一是强化监督管理，确保资金精准使用。加强支农惠农和财政衔接资金、专项补贴的项目申报、审核审批、发放管理、项目实施等环节的监督管理。坚持“谁申报谁负责、谁拨付谁跟踪、谁使用谁监管”的原则，对资金的申报、拨付、使用、绩效等实行流程式全覆盖监管，确保每一笔涉农资金都安全运行，切实提高资金使用效益。同时，落实好公示公告制度，及时向群众公示涉农资金金额和资金去向，接受社会监督，保证了群众的知情权、监督权。</w:t>
      </w:r>
    </w:p>
    <w:p w:rsidR="005325DA" w:rsidRDefault="005325DA" w:rsidP="005325DA">
      <w:pPr>
        <w:ind w:firstLineChars="200" w:firstLine="420"/>
      </w:pPr>
      <w:r>
        <w:rPr>
          <w:rFonts w:hint="eastAsia"/>
        </w:rPr>
        <w:t>二是打造信息平台，确保资金阳光运行。结合“数字财政”建设，打造自上而下统一的涉农项目资金信息平台，实施全流程、全周期的实时监控和预警反馈机制。以“惠农惠民一卡通平台”为抓手，通过加强项目执行监控和实时动态调整等方式，加快资金使用支出进度。认真做好直达资金的监控管理，充分发挥资金直达机制的民生保障作用。</w:t>
      </w:r>
    </w:p>
    <w:p w:rsidR="005325DA" w:rsidRDefault="005325DA" w:rsidP="005325DA">
      <w:pPr>
        <w:ind w:firstLineChars="200" w:firstLine="420"/>
      </w:pPr>
      <w:r>
        <w:rPr>
          <w:rFonts w:hint="eastAsia"/>
        </w:rPr>
        <w:t>三是完善内控制度，确保资金规范使用。全面推进内控制度体系，增强内控制度的严肃性和约束力，规范资产、财务、保密、档案等多项工作在阳光下操作运行，实现监督有重点。不断优化各环节经办审批流程，狠抓关键岗位的风险控制，加大廉政教育力度，严抓政治学习、警示教育、宣传教育，增强财政干部廉洁自律和风险防控意识，为提高基层组织资金使用效益、提升服务群众水平提供制度保障。</w:t>
      </w:r>
    </w:p>
    <w:p w:rsidR="005325DA" w:rsidRDefault="005325DA" w:rsidP="005325DA">
      <w:pPr>
        <w:ind w:firstLineChars="200" w:firstLine="420"/>
      </w:pPr>
      <w:r>
        <w:rPr>
          <w:rFonts w:hint="eastAsia"/>
        </w:rPr>
        <w:t>四是开展财务培训，确保资金高效使用。结合系统“财政大讲堂”活动，认真组织相关业务知识培训，举办年度镇村两级财务人员培训会，由财务专家针对镇村两级在财务工作中遇到的难题量身定制课程，组织学习财经法规、制度和相关业务知识，梳理各自工作中的风险点，并及时给予整改，持续提高财政干部的业务技能和综合素质，形成责权明确、管理民主、监督到位的管理体制，不断推动农村集体“三资”管理的制度化、规范化水平。</w:t>
      </w:r>
    </w:p>
    <w:p w:rsidR="005325DA" w:rsidRDefault="005325DA" w:rsidP="005325DA">
      <w:pPr>
        <w:ind w:firstLineChars="200" w:firstLine="420"/>
      </w:pPr>
      <w:r>
        <w:rPr>
          <w:rFonts w:hint="eastAsia"/>
        </w:rPr>
        <w:t>五是推进绩效管理，确保资金安全使用。定期对实施的涉农资金项目进行监督，与人社局等有关部门及时跟踪协调各单位遇到的情况和问题，加强扶贫、教育、医疗、养老等重点民生资金监管工作，重点加强涉农项目资金监管工作，将涉农项目纳入重点绩效评价。强化对资金项目的规范管理，落实好公告公示制度，对“三资”管理情况定期进行公示公开，确保项目资金安全透明，项目资产管理规范到位。</w:t>
      </w:r>
    </w:p>
    <w:p w:rsidR="005325DA" w:rsidRDefault="005325DA" w:rsidP="006116EB">
      <w:pPr>
        <w:jc w:val="right"/>
      </w:pPr>
      <w:r>
        <w:rPr>
          <w:rFonts w:hint="eastAsia"/>
        </w:rPr>
        <w:t>南阳市财政局</w:t>
      </w:r>
      <w:r>
        <w:rPr>
          <w:rFonts w:hint="eastAsia"/>
        </w:rPr>
        <w:t>2022-10-28</w:t>
      </w:r>
    </w:p>
    <w:p w:rsidR="005325DA" w:rsidRDefault="005325DA" w:rsidP="00673E27">
      <w:pPr>
        <w:sectPr w:rsidR="005325DA" w:rsidSect="00673E2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6795D" w:rsidRDefault="00E6795D"/>
    <w:sectPr w:rsidR="00E679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325DA"/>
    <w:rsid w:val="005325DA"/>
    <w:rsid w:val="00E679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325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325D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</Words>
  <Characters>884</Characters>
  <Application>Microsoft Office Word</Application>
  <DocSecurity>0</DocSecurity>
  <Lines>7</Lines>
  <Paragraphs>2</Paragraphs>
  <ScaleCrop>false</ScaleCrop>
  <Company>微软中国</Company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2022-12-20T07:27:00Z</dcterms:created>
</cp:coreProperties>
</file>