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5235" w:rsidRDefault="00E15235" w:rsidP="0091398A">
      <w:pPr>
        <w:pStyle w:val="1"/>
      </w:pPr>
      <w:r>
        <w:rPr>
          <w:rFonts w:hint="eastAsia"/>
        </w:rPr>
        <w:t>酒泉公安五项举措打击治理电信网络新型违法犯罪取得新成效</w:t>
      </w:r>
    </w:p>
    <w:p w:rsidR="00E15235" w:rsidRDefault="00E15235" w:rsidP="00E15235">
      <w:pPr>
        <w:ind w:firstLineChars="200" w:firstLine="420"/>
      </w:pPr>
      <w:r>
        <w:rPr>
          <w:rFonts w:hint="eastAsia"/>
        </w:rPr>
        <w:t>近年来，酒泉公安认真贯彻落实习近平总书记关于打击治理电信网络诈骗犯罪工作重要指示精神，在市委市政府和省公安厅的坚强领导下</w:t>
      </w:r>
      <w:r>
        <w:t>,</w:t>
      </w:r>
      <w:r>
        <w:t>牢固树立</w:t>
      </w:r>
      <w:r>
        <w:t>“</w:t>
      </w:r>
      <w:r>
        <w:t>系统治理、预防为主、科技支撑、全民防范、生态打击</w:t>
      </w:r>
      <w:r>
        <w:t>”</w:t>
      </w:r>
      <w:r>
        <w:t>的工作理念，咬定目标、攻坚克难</w:t>
      </w:r>
      <w:r>
        <w:t>,</w:t>
      </w:r>
      <w:r>
        <w:t>统筹推进打击治理电信网络新型违法犯罪各项工作，用大数据思维构建形成</w:t>
      </w:r>
      <w:r>
        <w:t>“</w:t>
      </w:r>
      <w:r>
        <w:t>党政齐抓联合治、数据赋能科技防、源头治理强宣传、聚焦末端集群打</w:t>
      </w:r>
      <w:r>
        <w:t>”</w:t>
      </w:r>
      <w:r>
        <w:t>四位一体治理模式，</w:t>
      </w:r>
      <w:r>
        <w:t>2022</w:t>
      </w:r>
      <w:r>
        <w:t>年全市共立电诈案件</w:t>
      </w:r>
      <w:r>
        <w:t>301</w:t>
      </w:r>
      <w:r>
        <w:t>起，同比下降</w:t>
      </w:r>
      <w:r>
        <w:t>18%</w:t>
      </w:r>
      <w:r>
        <w:t>，损失</w:t>
      </w:r>
      <w:r>
        <w:t>2023</w:t>
      </w:r>
      <w:r>
        <w:t>万元，同比下降</w:t>
      </w:r>
      <w:r>
        <w:t>3%</w:t>
      </w:r>
      <w:r>
        <w:t>。在全国、全省电诈案件大幅度上升的趋势下，酒泉成为全省唯一发案数、</w:t>
      </w:r>
      <w:r>
        <w:rPr>
          <w:rFonts w:hint="eastAsia"/>
        </w:rPr>
        <w:t>损失数连续四年“双下降”的市州，防范治理成效显著。</w:t>
      </w:r>
    </w:p>
    <w:p w:rsidR="00E15235" w:rsidRDefault="00E15235" w:rsidP="00E15235">
      <w:pPr>
        <w:ind w:firstLineChars="200" w:firstLine="420"/>
      </w:pPr>
      <w:r>
        <w:rPr>
          <w:rFonts w:hint="eastAsia"/>
        </w:rPr>
        <w:t>部门联动，织密行业监管“高压线”。市联席办高位推进</w:t>
      </w:r>
      <w:r>
        <w:t>,</w:t>
      </w:r>
      <w:r>
        <w:t>把夯实基础放在心上，聚焦贯彻落实</w:t>
      </w:r>
      <w:r>
        <w:t>“</w:t>
      </w:r>
      <w:r>
        <w:t>打防管控宣</w:t>
      </w:r>
      <w:r>
        <w:t>”</w:t>
      </w:r>
      <w:r>
        <w:t>部署中的重点难点</w:t>
      </w:r>
      <w:r>
        <w:t>,</w:t>
      </w:r>
      <w:r>
        <w:t>精准发力</w:t>
      </w:r>
      <w:r>
        <w:t>,</w:t>
      </w:r>
      <w:r>
        <w:t>将电诈治理纳入平安酒泉建设考核，与</w:t>
      </w:r>
      <w:r>
        <w:t>23</w:t>
      </w:r>
      <w:r>
        <w:t>个成员单位联动防，严格落实</w:t>
      </w:r>
      <w:r>
        <w:t>“</w:t>
      </w:r>
      <w:r>
        <w:t>一案双查</w:t>
      </w:r>
      <w:r>
        <w:t>”</w:t>
      </w:r>
      <w:r>
        <w:t>，对工作不力部门挂牌督办。督促银行网点落实</w:t>
      </w:r>
      <w:r>
        <w:t>“</w:t>
      </w:r>
      <w:r>
        <w:t>三问、两看、一核对</w:t>
      </w:r>
      <w:r>
        <w:t>”</w:t>
      </w:r>
      <w:r>
        <w:t>防范制度，做好风险账户封控措施，锁牢资金出口</w:t>
      </w:r>
      <w:r>
        <w:t>“</w:t>
      </w:r>
      <w:r>
        <w:t>保险锁</w:t>
      </w:r>
      <w:r>
        <w:t>”</w:t>
      </w:r>
      <w:r>
        <w:t>。针对行业突出问题，市联席办多次牵头召开成员单位联席会、重点行业约谈会、断卡行动推进会督促各运营商、商业银行把好</w:t>
      </w:r>
      <w:r>
        <w:t>“</w:t>
      </w:r>
      <w:r>
        <w:t>开关</w:t>
      </w:r>
      <w:r>
        <w:t>”</w:t>
      </w:r>
      <w:r>
        <w:t>；用足法律，主动出击，严打</w:t>
      </w:r>
      <w:r>
        <w:t>“</w:t>
      </w:r>
      <w:r>
        <w:t>跑分</w:t>
      </w:r>
      <w:r>
        <w:t>”</w:t>
      </w:r>
      <w:r>
        <w:t>平台洗钱、售卖对公账户</w:t>
      </w:r>
      <w:r>
        <w:t>“</w:t>
      </w:r>
      <w:r>
        <w:t>四件套</w:t>
      </w:r>
      <w:r>
        <w:t>”</w:t>
      </w:r>
      <w:r>
        <w:t>，落实</w:t>
      </w:r>
      <w:r>
        <w:rPr>
          <w:rFonts w:hint="eastAsia"/>
        </w:rPr>
        <w:t>电话卡、银行卡“实名登记、实人使用”，研发高危涉卡人员预警管控系统，有力斩断“电诈输血供粮”通道。</w:t>
      </w:r>
    </w:p>
    <w:p w:rsidR="00E15235" w:rsidRDefault="00E15235" w:rsidP="00E15235">
      <w:pPr>
        <w:ind w:firstLineChars="200" w:firstLine="420"/>
      </w:pPr>
      <w:r>
        <w:rPr>
          <w:rFonts w:hint="eastAsia"/>
        </w:rPr>
        <w:t>数据赋能，打好预警拦截“组合拳”。主动探索警企合作新模式，打造“酒泉智守预警反制平台”，联通省、市、县、派出所四级预警联动处置通道，推广“国家反诈中心</w:t>
      </w:r>
      <w:r>
        <w:t>APP”</w:t>
      </w:r>
      <w:r>
        <w:t>及</w:t>
      </w:r>
      <w:r>
        <w:t>“</w:t>
      </w:r>
      <w:r>
        <w:t>金钟罩警民联防平台</w:t>
      </w:r>
      <w:r>
        <w:t>”</w:t>
      </w:r>
      <w:r>
        <w:t>在全市注册，实现精准预警、快速回访、家庭联防</w:t>
      </w:r>
      <w:r>
        <w:t>,</w:t>
      </w:r>
      <w:r>
        <w:t>推动开展</w:t>
      </w:r>
      <w:r>
        <w:t>“</w:t>
      </w:r>
      <w:r>
        <w:t>网格化</w:t>
      </w:r>
      <w:r>
        <w:t>”</w:t>
      </w:r>
      <w:r>
        <w:t>宣传防范，加快构建全警反诈、全民反诈、全社会反诈新格局。截至目前，全市</w:t>
      </w:r>
      <w:r>
        <w:t>36</w:t>
      </w:r>
      <w:r>
        <w:t>万人注册使用金钟罩，受保护人数</w:t>
      </w:r>
      <w:r>
        <w:t>55</w:t>
      </w:r>
      <w:r>
        <w:t>万余人，成功劝阻</w:t>
      </w:r>
      <w:r>
        <w:t>5</w:t>
      </w:r>
      <w:r>
        <w:t>万余人上当受骗，劝阻金额</w:t>
      </w:r>
      <w:r>
        <w:t>8000</w:t>
      </w:r>
      <w:r>
        <w:t>余万元。同时，建立快速止付冻结通道，反诈中心、银行同步封堵干扰、止付冻结，今年以来紧急止付</w:t>
      </w:r>
      <w:r>
        <w:t>8</w:t>
      </w:r>
      <w:r>
        <w:t>亿余元，冻结涉案</w:t>
      </w:r>
      <w:r>
        <w:rPr>
          <w:rFonts w:hint="eastAsia"/>
        </w:rPr>
        <w:t>资金</w:t>
      </w:r>
      <w:r>
        <w:t>400</w:t>
      </w:r>
      <w:r>
        <w:t>余万元。</w:t>
      </w:r>
    </w:p>
    <w:p w:rsidR="00E15235" w:rsidRDefault="00E15235" w:rsidP="00E15235">
      <w:pPr>
        <w:ind w:firstLineChars="200" w:firstLine="420"/>
      </w:pPr>
      <w:r>
        <w:rPr>
          <w:rFonts w:hint="eastAsia"/>
        </w:rPr>
        <w:t>合成作战，把好精准打击“关键点”。市反诈中心与合成作战中心一体运行，确保一体联动、精准高效、全链条打击境内“跑分”团伙、窝点、卡商、境外回流诈骗嫌疑人。近三年来，共破获电信诈骗案件</w:t>
      </w:r>
      <w:r>
        <w:t>1200</w:t>
      </w:r>
      <w:r>
        <w:t>余起，打掉犯罪团伙</w:t>
      </w:r>
      <w:r>
        <w:t>100</w:t>
      </w:r>
      <w:r>
        <w:t>余个，捣毁犯罪窝点</w:t>
      </w:r>
      <w:r>
        <w:t>130</w:t>
      </w:r>
      <w:r>
        <w:t>余个，查获涉案电话卡、银行卡</w:t>
      </w:r>
      <w:r>
        <w:t>3000</w:t>
      </w:r>
      <w:r>
        <w:t>余张，实施信用惩戒</w:t>
      </w:r>
      <w:r>
        <w:t>180</w:t>
      </w:r>
      <w:r>
        <w:t>余人，保持了对电诈犯罪的严打高压态势。</w:t>
      </w:r>
    </w:p>
    <w:p w:rsidR="00E15235" w:rsidRDefault="00E15235" w:rsidP="00E15235">
      <w:pPr>
        <w:ind w:firstLineChars="200" w:firstLine="420"/>
      </w:pPr>
      <w:r>
        <w:rPr>
          <w:rFonts w:hint="eastAsia"/>
        </w:rPr>
        <w:t>严管严控，施好综合治理“特效药”。严格贯彻落实党中央、国务院、省级联席会议决策部署，深入推进“断卡”行动、“断流”专案行动、“拔钉”行动，严打“跑分”平台洗钱、售卖微信号、</w:t>
      </w:r>
      <w:r>
        <w:t>QQ</w:t>
      </w:r>
      <w:r>
        <w:t>号、银行卡、对公账户</w:t>
      </w:r>
      <w:r>
        <w:t>“</w:t>
      </w:r>
      <w:r>
        <w:t>四件套</w:t>
      </w:r>
      <w:r>
        <w:t>”</w:t>
      </w:r>
      <w:r>
        <w:t>、非法偷越国（边）境等违法犯罪活动，持续加强重点行业监管，推进重点地区整治，落实重点人员管理，最大限度防范</w:t>
      </w:r>
      <w:r>
        <w:t>“</w:t>
      </w:r>
      <w:r>
        <w:t>两卡</w:t>
      </w:r>
      <w:r>
        <w:t>”</w:t>
      </w:r>
      <w:r>
        <w:t>开办、买卖和外流作案，坚决切断偷渡通道、招募链条，全力挤压境外电信网络诈骗犯罪团伙生存空间。近三年来，紧急处置高风险电话号码</w:t>
      </w:r>
      <w:r>
        <w:t>2</w:t>
      </w:r>
      <w:r>
        <w:t>万余户，封控处置高风险异常账户</w:t>
      </w:r>
      <w:r>
        <w:t>2000</w:t>
      </w:r>
      <w:r>
        <w:t>余户，全市公安机关抓获涉</w:t>
      </w:r>
      <w:r>
        <w:t>“</w:t>
      </w:r>
      <w:r>
        <w:t>两</w:t>
      </w:r>
      <w:r>
        <w:rPr>
          <w:rFonts w:hint="eastAsia"/>
        </w:rPr>
        <w:t>卡”违法犯罪嫌疑人</w:t>
      </w:r>
      <w:r>
        <w:t>900</w:t>
      </w:r>
      <w:r>
        <w:t>余人，打掉</w:t>
      </w:r>
      <w:r>
        <w:t>“</w:t>
      </w:r>
      <w:r>
        <w:t>黑灰产</w:t>
      </w:r>
      <w:r>
        <w:t>”</w:t>
      </w:r>
      <w:r>
        <w:t>犯罪窝点、团伙</w:t>
      </w:r>
      <w:r>
        <w:t>70</w:t>
      </w:r>
      <w:r>
        <w:t>余个；偷越国（边）境犯罪活动犯罪团伙</w:t>
      </w:r>
      <w:r>
        <w:t>5</w:t>
      </w:r>
      <w:r>
        <w:t>个，抓获犯罪嫌疑人</w:t>
      </w:r>
      <w:r>
        <w:t>20</w:t>
      </w:r>
      <w:r>
        <w:t>余人，有效遏制了黑灰产犯罪在我市生存的土壤。</w:t>
      </w:r>
    </w:p>
    <w:p w:rsidR="00E15235" w:rsidRDefault="00E15235" w:rsidP="00E15235">
      <w:pPr>
        <w:ind w:firstLineChars="200" w:firstLine="420"/>
      </w:pPr>
      <w:r>
        <w:rPr>
          <w:rFonts w:hint="eastAsia"/>
        </w:rPr>
        <w:t>全域宣传，筑牢全民防范“一张网”。积极搭建市、县、社区、成员单位与群众五级宣传防范体系，全力开展“全民防电诈、全社会反电诈”及“全民反诈在行动”集中宣传活动，充分运用</w:t>
      </w:r>
      <w:r>
        <w:rPr>
          <w:rFonts w:hint="eastAsia"/>
        </w:rPr>
        <w:lastRenderedPageBreak/>
        <w:t>互联网阵地开展反诈宣传，动员各成员单位发挥专业优势，建立全方位、广覆盖的反诈宣传体系，靠实辖区派出所社区民警第一责任人责任，对多发案辖区预警责任倒查，切实形成了上下联动、齐抓共管、全民防诈、全社会反诈的良好局面，以领跑全省的姿态扛起了打击治理电信网络诈骗犯罪的时代担当。</w:t>
      </w:r>
    </w:p>
    <w:p w:rsidR="00E15235" w:rsidRDefault="00E15235" w:rsidP="00E15235">
      <w:pPr>
        <w:ind w:firstLineChars="200" w:firstLine="420"/>
      </w:pPr>
      <w:r>
        <w:rPr>
          <w:rFonts w:hint="eastAsia"/>
        </w:rPr>
        <w:t>电诈犯罪直接威胁群众的“钱袋子”。酒泉公安将持续深入推进打击治理电信网络诈骗犯罪工作，始终把打击治理电信网络新型违法犯罪工作作为民生工程、平安工程抓紧抓好，坚持打、防、管、控、宣同步推进、多管齐下，不断提升人民群众识诈、防诈、反诈意识和能力，凝聚起社会各界防范电信网络诈骗的强大合力，共同构筑“全民防诈、全社会反诈”的铜墙铁壁。</w:t>
      </w:r>
    </w:p>
    <w:p w:rsidR="00E15235" w:rsidRDefault="00E15235" w:rsidP="00A9261C">
      <w:pPr>
        <w:jc w:val="right"/>
      </w:pPr>
      <w:r w:rsidRPr="00A9261C">
        <w:rPr>
          <w:rFonts w:hint="eastAsia"/>
        </w:rPr>
        <w:t>酒泉市公安局</w:t>
      </w:r>
      <w:r w:rsidRPr="00A9261C">
        <w:t>2022-</w:t>
      </w:r>
      <w:r>
        <w:rPr>
          <w:rFonts w:hint="eastAsia"/>
        </w:rPr>
        <w:t>10</w:t>
      </w:r>
      <w:r w:rsidRPr="00A9261C">
        <w:t>-05</w:t>
      </w:r>
    </w:p>
    <w:p w:rsidR="00E15235" w:rsidRDefault="00E15235" w:rsidP="003C43C1">
      <w:pPr>
        <w:sectPr w:rsidR="00E15235" w:rsidSect="003C43C1">
          <w:type w:val="continuous"/>
          <w:pgSz w:w="11906" w:h="16838"/>
          <w:pgMar w:top="1644" w:right="1236" w:bottom="1418" w:left="1814" w:header="851" w:footer="907" w:gutter="0"/>
          <w:pgNumType w:start="1"/>
          <w:cols w:space="720"/>
          <w:docGrid w:type="lines" w:linePitch="341" w:charSpace="2373"/>
        </w:sectPr>
      </w:pPr>
    </w:p>
    <w:p w:rsidR="003D35DE" w:rsidRDefault="003D35DE"/>
    <w:sectPr w:rsidR="003D35D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15235"/>
    <w:rsid w:val="003D35DE"/>
    <w:rsid w:val="00E1523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523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1523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267</Words>
  <Characters>1526</Characters>
  <Application>Microsoft Office Word</Application>
  <DocSecurity>0</DocSecurity>
  <Lines>12</Lines>
  <Paragraphs>3</Paragraphs>
  <ScaleCrop>false</ScaleCrop>
  <Company>微软中国</Company>
  <LinksUpToDate>false</LinksUpToDate>
  <CharactersWithSpaces>1790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2022-12-16T01:16:00Z</dcterms:created>
</cp:coreProperties>
</file>