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0DEF" w:rsidRDefault="00E00DEF" w:rsidP="00D04FE6">
      <w:pPr>
        <w:pStyle w:val="1"/>
      </w:pPr>
      <w:r>
        <w:rPr>
          <w:rFonts w:hint="eastAsia"/>
        </w:rPr>
        <w:t>重庆市</w:t>
      </w:r>
      <w:r w:rsidRPr="00D04FE6">
        <w:rPr>
          <w:rFonts w:hint="eastAsia"/>
        </w:rPr>
        <w:t>綦江区多措并举强化扶贫项目资产运营管理</w:t>
      </w:r>
    </w:p>
    <w:p w:rsidR="00E00DEF" w:rsidRDefault="00E00DEF" w:rsidP="00E00DEF">
      <w:pPr>
        <w:ind w:firstLineChars="200" w:firstLine="420"/>
      </w:pPr>
      <w:r>
        <w:rPr>
          <w:rFonts w:hint="eastAsia"/>
        </w:rPr>
        <w:t>坚成果同乡村振兴衔接中持续发挥效益。</w:t>
      </w:r>
    </w:p>
    <w:p w:rsidR="00E00DEF" w:rsidRDefault="00E00DEF" w:rsidP="00E00DEF">
      <w:pPr>
        <w:ind w:firstLineChars="200" w:firstLine="420"/>
      </w:pPr>
      <w:r>
        <w:rPr>
          <w:rFonts w:hint="eastAsia"/>
        </w:rPr>
        <w:t>一是健全工作机制，明确管护责任。印发了《关于进一步做好扶贫项目资产清理工作的通知》《关于加强扶贫项目资产管理工作的办法》，指导全区扶贫项目资产管理工作。明确扶贫项目资产管理工作领导小组负责组织相关部门做好扶贫项目资产的管理工作，对扶贫项目资产确权、变更、经营、收益分配、后续管护等工作进行监督指导。区级相关行业主管部门按照职责分工负责扶贫项目资产统计、监测、日常监管等工作。镇（街）负责监督指导本镇（街）内扶贫项目资产登记、日常管理、后期管护，监督指导行政村（社区）履行管护责任。</w:t>
      </w:r>
    </w:p>
    <w:p w:rsidR="00E00DEF" w:rsidRDefault="00E00DEF" w:rsidP="00E00DEF">
      <w:pPr>
        <w:ind w:firstLineChars="200" w:firstLine="420"/>
      </w:pPr>
      <w:r>
        <w:rPr>
          <w:rFonts w:hint="eastAsia"/>
        </w:rPr>
        <w:t>二是界定管理范围，明确资产性质。针对立项批复实施的各级各类扶贫资金投入形成的扶贫项目资产，明确资产管理类型，主要分为公益性资产、经营性资产和到户类资产三大类。按照“谁实施谁负责、谁使用谁监管”的原则，区级相关行业主管部门和镇村两级管好用好确权的所属资产，资产收益类项目的收益，按照产权归属合理受益分配到村到户。</w:t>
      </w:r>
    </w:p>
    <w:p w:rsidR="00E00DEF" w:rsidRDefault="00E00DEF" w:rsidP="00E00DEF">
      <w:pPr>
        <w:ind w:firstLineChars="200" w:firstLine="420"/>
      </w:pPr>
      <w:r>
        <w:rPr>
          <w:rFonts w:ascii="MS Mincho" w:eastAsia="MS Mincho" w:hAnsi="MS Mincho" w:cs="MS Mincho" w:hint="eastAsia"/>
        </w:rPr>
        <w:t>  </w:t>
      </w:r>
      <w:r>
        <w:t>三是澄清台账底数，明确权责隶属。制定了由项目行业主管部门牵头负责，镇村参与配合的统筹协调工作机制，确保了扶贫项目资产登记工作的有序开展，指导镇（街）全面开展扶贫项目资产清产核资，分类、分项、分年度登记资产明细，建立扶贫项目资产动态监管台账。在全面清产核资、登记造册的基础上，所有扶贫项目资产实行一次确权到位。区镇村三级建立扶贫项目资产台账，行业主管部门承担日常管理和监督责任。</w:t>
      </w:r>
    </w:p>
    <w:p w:rsidR="00E00DEF" w:rsidRDefault="00E00DEF" w:rsidP="00E00DEF">
      <w:pPr>
        <w:ind w:firstLineChars="200" w:firstLine="420"/>
      </w:pPr>
      <w:r>
        <w:rPr>
          <w:rFonts w:hint="eastAsia"/>
        </w:rPr>
        <w:t>四是严把资产管护，明确处置程序。坚持“谁使用、谁受益、谁管护、谁负责”的原则，通过合作经营、委托管理、入股分红等方式，明确运营各方权利义务、经营责任、管护责任、绩效目标、股权的退出和处置方式等，“让最能挣钱的人去经营”，做到管用并举，确保扶贫项目资产发挥成效。坚持扶贫项目资产收益优先用于村级产业发展、巩固脱贫成果、做大做强村级集体经济、改善和维护村内小型公益设施、实施镇村振兴。坚持按劳分配为主，鼓励劳动致富，注重激发群众内生动力，同时兼顾公平，保障弱势群体合法利益。在推进过程中，及时对已经实施的资产收益扶贫项目进行完善和调整，坚决杜绝资金“一分了之、一股了之”。坚持任何单位和个人不得随意处置集体和国有扶贫项目资产，确需处置的须履行相应审批手续进行规范处置。区级相关行业部门和镇村两级同步建立扶贫项目资产核销登记台账，做到区镇村三级台账记录一致。探索引入市场运营管理理念，放宽灵活“经营权”，盘活闲置资产，提高经营性扶贫项目资产效益。</w:t>
      </w:r>
    </w:p>
    <w:p w:rsidR="00E00DEF" w:rsidRDefault="00E00DEF" w:rsidP="00E00DEF">
      <w:pPr>
        <w:ind w:firstLineChars="200" w:firstLine="420"/>
      </w:pPr>
      <w:r>
        <w:rPr>
          <w:rFonts w:hint="eastAsia"/>
        </w:rPr>
        <w:t>五是强化督查考核，明确工作实效。把扶贫项目资产管理工作纳入巩固拓展脱贫攻坚成果同镇村振兴有效衔接成效考核重要内容，并重点督查资产台账管理、资产主体责任落实、资产权益分配使用、资产管理长效机制群众参与度和满意度等内容，及时发现和掌握工作中出现的新情况、新问题，增强工作的主动性、预见性和创造性。</w:t>
      </w:r>
    </w:p>
    <w:p w:rsidR="00E00DEF" w:rsidRDefault="00E00DEF" w:rsidP="00D04FE6">
      <w:pPr>
        <w:jc w:val="right"/>
      </w:pPr>
      <w:r w:rsidRPr="00D04FE6">
        <w:rPr>
          <w:rFonts w:hint="eastAsia"/>
        </w:rPr>
        <w:t>重庆市乡村振兴局</w:t>
      </w:r>
      <w:r>
        <w:rPr>
          <w:rFonts w:hint="eastAsia"/>
        </w:rPr>
        <w:t xml:space="preserve"> 2021-9-7</w:t>
      </w:r>
    </w:p>
    <w:p w:rsidR="00E00DEF" w:rsidRDefault="00E00DEF" w:rsidP="002C6953">
      <w:pPr>
        <w:sectPr w:rsidR="00E00DEF" w:rsidSect="002C6953">
          <w:type w:val="continuous"/>
          <w:pgSz w:w="11906" w:h="16838"/>
          <w:pgMar w:top="1644" w:right="1236" w:bottom="1418" w:left="1814" w:header="851" w:footer="907" w:gutter="0"/>
          <w:pgNumType w:start="1"/>
          <w:cols w:space="720"/>
          <w:docGrid w:type="lines" w:linePitch="341" w:charSpace="2373"/>
        </w:sectPr>
      </w:pPr>
    </w:p>
    <w:p w:rsidR="00E53344" w:rsidRDefault="00E53344"/>
    <w:sectPr w:rsidR="00E5334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00DEF"/>
    <w:rsid w:val="00E00DEF"/>
    <w:rsid w:val="00E533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00DE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00DE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181</Words>
  <Characters>1037</Characters>
  <Application>Microsoft Office Word</Application>
  <DocSecurity>0</DocSecurity>
  <Lines>8</Lines>
  <Paragraphs>2</Paragraphs>
  <ScaleCrop>false</ScaleCrop>
  <Company>微软中国</Company>
  <LinksUpToDate>false</LinksUpToDate>
  <CharactersWithSpaces>1216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2022-09-13T09:42:00Z</dcterms:created>
</cp:coreProperties>
</file>