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864" w:rsidRDefault="00A04864" w:rsidP="007603B6">
      <w:pPr>
        <w:pStyle w:val="1"/>
      </w:pPr>
      <w:r w:rsidRPr="007603B6">
        <w:rPr>
          <w:rFonts w:hint="eastAsia"/>
        </w:rPr>
        <w:t>兴义市五举措紧盯扶贫资金管理夯实脱贫成果</w:t>
      </w:r>
    </w:p>
    <w:p w:rsidR="00A04864" w:rsidRDefault="00A04864" w:rsidP="00A04864">
      <w:pPr>
        <w:ind w:firstLineChars="200" w:firstLine="420"/>
      </w:pPr>
      <w:r>
        <w:rPr>
          <w:rFonts w:hint="eastAsia"/>
        </w:rPr>
        <w:t>精准安排专项扶贫资金。</w:t>
      </w:r>
      <w:r>
        <w:t>2020</w:t>
      </w:r>
      <w:r>
        <w:t>年上级下达兴义市</w:t>
      </w:r>
      <w:r>
        <w:t>2020</w:t>
      </w:r>
      <w:r>
        <w:t>年中央财政专项扶贫资金（扶贫发展资金）</w:t>
      </w:r>
      <w:r>
        <w:t>6855.77</w:t>
      </w:r>
      <w:r>
        <w:t>万元，其中扶贫发展资金</w:t>
      </w:r>
      <w:r>
        <w:t>6489.1</w:t>
      </w:r>
      <w:r>
        <w:t>万元，奖励资金</w:t>
      </w:r>
      <w:r>
        <w:t>366.67</w:t>
      </w:r>
      <w:r>
        <w:t>万元。审批实施项目</w:t>
      </w:r>
      <w:r>
        <w:t>47</w:t>
      </w:r>
      <w:r>
        <w:t>个，覆盖建档立卡贫困户</w:t>
      </w:r>
      <w:r>
        <w:t>5807</w:t>
      </w:r>
      <w:r>
        <w:t>户</w:t>
      </w:r>
      <w:r>
        <w:t>17421</w:t>
      </w:r>
      <w:r>
        <w:t>人。严格按乡级报账制要求进行拨付，由全市乡镇（街道）按规定安排使用和报账，财政专项扶贫资金备案率、拨付率、竣工率、报账率均为</w:t>
      </w:r>
      <w:r>
        <w:t>100</w:t>
      </w:r>
      <w:r>
        <w:t>％。</w:t>
      </w:r>
    </w:p>
    <w:p w:rsidR="00A04864" w:rsidRDefault="00A04864" w:rsidP="00A04864">
      <w:pPr>
        <w:ind w:firstLineChars="200" w:firstLine="420"/>
      </w:pPr>
      <w:r>
        <w:rPr>
          <w:rFonts w:hint="eastAsia"/>
        </w:rPr>
        <w:t>严格监管扶贫资金。研究制定《兴义市财政专项扶贫资金管理使用情况排查整改工作方案》，对全市</w:t>
      </w:r>
      <w:r>
        <w:t>2016</w:t>
      </w:r>
      <w:r>
        <w:t>－</w:t>
      </w:r>
      <w:r>
        <w:t>2019</w:t>
      </w:r>
      <w:r>
        <w:t>年度财政专项扶贫资金使用和管理情况存在问题逐一排查、逐一整改、逐一销号，确保扶贫资金管理使用问题监管检查无死角。同时，通过购买服务聘请第三方对全市</w:t>
      </w:r>
      <w:r>
        <w:t>2016</w:t>
      </w:r>
      <w:r>
        <w:t>年以来，实施中央、省财政专项扶贫资金项目</w:t>
      </w:r>
      <w:r>
        <w:t>585</w:t>
      </w:r>
      <w:r>
        <w:t>个进行全覆盖检查，通过查缺补漏，完善项目程序和资料。</w:t>
      </w:r>
    </w:p>
    <w:p w:rsidR="00A04864" w:rsidRDefault="00A04864" w:rsidP="00A04864">
      <w:pPr>
        <w:ind w:firstLineChars="200" w:firstLine="420"/>
      </w:pPr>
      <w:r>
        <w:rPr>
          <w:rFonts w:hint="eastAsia"/>
        </w:rPr>
        <w:t>规范脱贫攻坚项目库建设。严格按照项目库建设拟建项目村申报、乡（镇）审核、部门论证、县审定、省市备案入库流程要求，截至</w:t>
      </w:r>
      <w:r>
        <w:t>2020</w:t>
      </w:r>
      <w:r>
        <w:t>年</w:t>
      </w:r>
      <w:r>
        <w:t>5</w:t>
      </w:r>
      <w:r>
        <w:t>月底，</w:t>
      </w:r>
      <w:r>
        <w:t>2018</w:t>
      </w:r>
      <w:r>
        <w:t>－</w:t>
      </w:r>
      <w:r>
        <w:t>2021</w:t>
      </w:r>
      <w:r>
        <w:t>市级脱贫攻坚入库项目</w:t>
      </w:r>
      <w:r>
        <w:t>422</w:t>
      </w:r>
      <w:r>
        <w:t>个，总投资</w:t>
      </w:r>
      <w:r>
        <w:t>84808.39</w:t>
      </w:r>
      <w:r>
        <w:t>万元。其中：产业扶贫项目</w:t>
      </w:r>
      <w:r>
        <w:t>239</w:t>
      </w:r>
      <w:r>
        <w:t>个</w:t>
      </w:r>
      <w:r>
        <w:t>75993.72</w:t>
      </w:r>
      <w:r>
        <w:t>万元；就业扶贫项目</w:t>
      </w:r>
      <w:r>
        <w:t>15</w:t>
      </w:r>
      <w:r>
        <w:t>个</w:t>
      </w:r>
      <w:r>
        <w:t>1068.7</w:t>
      </w:r>
      <w:r>
        <w:t>万元；教育扶贫项目</w:t>
      </w:r>
      <w:r>
        <w:t>2</w:t>
      </w:r>
      <w:r>
        <w:t>个</w:t>
      </w:r>
      <w:r>
        <w:t>59</w:t>
      </w:r>
      <w:r>
        <w:t>万元；农村危房改造项目</w:t>
      </w:r>
      <w:r>
        <w:t>2</w:t>
      </w:r>
      <w:r>
        <w:t>个</w:t>
      </w:r>
      <w:r>
        <w:t>1160.05</w:t>
      </w:r>
      <w:r>
        <w:t>万元；金融扶贫项目</w:t>
      </w:r>
      <w:r>
        <w:t>89</w:t>
      </w:r>
      <w:r>
        <w:t>个</w:t>
      </w:r>
      <w:r>
        <w:t>1940.1</w:t>
      </w:r>
      <w:r>
        <w:t>万元；生活条件改善项目</w:t>
      </w:r>
      <w:r>
        <w:t>27</w:t>
      </w:r>
      <w:r>
        <w:t>个</w:t>
      </w:r>
      <w:r>
        <w:t>2099.9</w:t>
      </w:r>
      <w:r>
        <w:t>万元；综合保障性扶贫项目</w:t>
      </w:r>
      <w:r>
        <w:t>1</w:t>
      </w:r>
      <w:r>
        <w:t>个</w:t>
      </w:r>
      <w:r>
        <w:t>30</w:t>
      </w:r>
      <w:r>
        <w:t>万元；村基础设施项目</w:t>
      </w:r>
      <w:r>
        <w:t>45</w:t>
      </w:r>
      <w:r>
        <w:t>个</w:t>
      </w:r>
      <w:r>
        <w:t>2391.01</w:t>
      </w:r>
      <w:r>
        <w:t>万元；项目</w:t>
      </w:r>
      <w:r>
        <w:rPr>
          <w:rFonts w:hint="eastAsia"/>
        </w:rPr>
        <w:t>管理费</w:t>
      </w:r>
      <w:r>
        <w:t>2</w:t>
      </w:r>
      <w:r>
        <w:t>笔</w:t>
      </w:r>
      <w:r>
        <w:t>65.91</w:t>
      </w:r>
      <w:r>
        <w:t>万元。</w:t>
      </w:r>
    </w:p>
    <w:p w:rsidR="00A04864" w:rsidRDefault="00A04864" w:rsidP="00A04864">
      <w:pPr>
        <w:ind w:firstLineChars="200" w:firstLine="420"/>
      </w:pPr>
      <w:r>
        <w:rPr>
          <w:rFonts w:hint="eastAsia"/>
        </w:rPr>
        <w:t>完善扶贫产业利益联结机制。制定《兴义市扶贫开发领导小组关于印发＜兴义市加强产业扶贫利益联结机制实施办法＞的通知》，以村为单位依法依规按照按“一评议一公开一公示”（村评议和公开、村内公示）民主程序以村为单位制定差异化分配方案，建立紧密利益联结机制，切实发挥产业扶贫带贫减贫作用，带动建档立卡农户持续增加收入，实现稳定脱贫和巩固脱贫成果，对投资入股资金实行差异化分配，扶贫资金以股权投资方式投入市场经营主体获得的收益，</w:t>
      </w:r>
      <w:r>
        <w:t>80</w:t>
      </w:r>
      <w:r>
        <w:t>％以上由建档立卡农户享受、</w:t>
      </w:r>
      <w:r>
        <w:t>20</w:t>
      </w:r>
      <w:r>
        <w:t>％以内由村集体享受，切实激发贫困户脱贫致富的内生动力。</w:t>
      </w:r>
    </w:p>
    <w:p w:rsidR="00A04864" w:rsidRDefault="00A04864" w:rsidP="00A04864">
      <w:pPr>
        <w:ind w:firstLineChars="200" w:firstLine="420"/>
      </w:pPr>
      <w:r>
        <w:rPr>
          <w:rFonts w:hint="eastAsia"/>
        </w:rPr>
        <w:t>推进金融扶贫。一是把握政策标准。按照“</w:t>
      </w:r>
      <w:r>
        <w:t>5</w:t>
      </w:r>
      <w:r>
        <w:t>万元以下、</w:t>
      </w:r>
      <w:r>
        <w:t>3</w:t>
      </w:r>
      <w:r>
        <w:t>年期内、免抵押免担保、扶贫贴息支持、县级风险补偿</w:t>
      </w:r>
      <w:r>
        <w:t>”</w:t>
      </w:r>
      <w:r>
        <w:t>的要求发放贷款和贴息。</w:t>
      </w:r>
      <w:r>
        <w:t>2016</w:t>
      </w:r>
      <w:r>
        <w:t>年</w:t>
      </w:r>
      <w:r>
        <w:t>4</w:t>
      </w:r>
      <w:r>
        <w:t>月启动扶贫小额信贷工作以来，全市累计发放扶贫小额贷款</w:t>
      </w:r>
      <w:r>
        <w:t>5364</w:t>
      </w:r>
      <w:r>
        <w:t>户</w:t>
      </w:r>
      <w:r>
        <w:t>6419</w:t>
      </w:r>
      <w:r>
        <w:t>笔</w:t>
      </w:r>
      <w:r>
        <w:t>2.7</w:t>
      </w:r>
      <w:r>
        <w:t>亿元，发放贴息资金</w:t>
      </w:r>
      <w:r>
        <w:t>3196.16</w:t>
      </w:r>
      <w:r>
        <w:t>万元，注入风险补偿金</w:t>
      </w:r>
      <w:r>
        <w:t>1730.65</w:t>
      </w:r>
      <w:r>
        <w:t>万元；今年新增贷款</w:t>
      </w:r>
      <w:r>
        <w:t>199</w:t>
      </w:r>
      <w:r>
        <w:t>笔</w:t>
      </w:r>
      <w:r>
        <w:t>840.86</w:t>
      </w:r>
      <w:r>
        <w:t>万元。实现建档面</w:t>
      </w:r>
      <w:r>
        <w:t>100</w:t>
      </w:r>
      <w:r>
        <w:t>％，评级面</w:t>
      </w:r>
      <w:r>
        <w:t>100</w:t>
      </w:r>
      <w:r>
        <w:t>％，对符合条件且有贷款需求的贫困户贷款满足率达</w:t>
      </w:r>
      <w:r>
        <w:t>100</w:t>
      </w:r>
      <w:r>
        <w:t>％。二是建强防控机制。先后制定了《关于开展扶贫小额信贷贷后回访调查工作方案》《关于开展建档立卡贫困户贷款</w:t>
      </w:r>
      <w:r>
        <w:rPr>
          <w:rFonts w:hint="eastAsia"/>
        </w:rPr>
        <w:t>未享受扶贫小额信贷政策调查核实处理工作方案》《兴义市进一步规范扶贫小额信贷工作切实防控风险工作方案》《关于做好兴义市扶贫小额信贷分类处理工作的通知》《兴义市扶贫小额信贷监督预警机制》《兴义市金融扶贫服务中心办公室关于明确风险补偿启动条件及程序的通知》等文件，进一步明确风险防控化解工作、办理展期以及启动风险补偿金的条件和流程，建立分类处理台账，落实新冠疫情期间贷款延期政策的规定，帮助企业和贫困户制定还款计划，提前预警，并严格按计划执行，确保如期归还贷款，切实防控信贷风险。</w:t>
      </w:r>
    </w:p>
    <w:p w:rsidR="00A04864" w:rsidRPr="007603B6" w:rsidRDefault="00A04864" w:rsidP="007603B6">
      <w:pPr>
        <w:jc w:val="right"/>
      </w:pPr>
      <w:r w:rsidRPr="007603B6">
        <w:rPr>
          <w:rFonts w:hint="eastAsia"/>
        </w:rPr>
        <w:t>兴义市乡村振兴局</w:t>
      </w:r>
      <w:r>
        <w:rPr>
          <w:rFonts w:hint="eastAsia"/>
        </w:rPr>
        <w:t xml:space="preserve"> 2021-10-25</w:t>
      </w:r>
    </w:p>
    <w:p w:rsidR="00A04864" w:rsidRDefault="00A04864" w:rsidP="002C6953">
      <w:pPr>
        <w:sectPr w:rsidR="00A04864" w:rsidSect="002C6953">
          <w:type w:val="continuous"/>
          <w:pgSz w:w="11906" w:h="16838"/>
          <w:pgMar w:top="1644" w:right="1236" w:bottom="1418" w:left="1814" w:header="851" w:footer="907" w:gutter="0"/>
          <w:pgNumType w:start="1"/>
          <w:cols w:space="720"/>
          <w:docGrid w:type="lines" w:linePitch="341" w:charSpace="2373"/>
        </w:sectPr>
      </w:pPr>
    </w:p>
    <w:p w:rsidR="00B436AB" w:rsidRDefault="00B436AB"/>
    <w:sectPr w:rsidR="00B436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4864"/>
    <w:rsid w:val="00A04864"/>
    <w:rsid w:val="00B436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48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48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212</Words>
  <Characters>1210</Characters>
  <Application>Microsoft Office Word</Application>
  <DocSecurity>0</DocSecurity>
  <Lines>10</Lines>
  <Paragraphs>2</Paragraphs>
  <ScaleCrop>false</ScaleCrop>
  <Company>微软中国</Company>
  <LinksUpToDate>false</LinksUpToDate>
  <CharactersWithSpaces>1420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