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C95C85" w:rsidRDefault="00C95C85" w:rsidP="002836B0">
      <w:pPr>
        <w:pStyle w:val="1"/>
      </w:pPr>
      <w:r w:rsidRPr="002836B0">
        <w:rPr>
          <w:rFonts w:hint="eastAsia"/>
        </w:rPr>
        <w:t>钢城区城管局精细化管理打造舒适宜居城市环境</w:t>
      </w:r>
    </w:p>
    <w:p w:rsidR="00C95C85" w:rsidRDefault="00C95C85" w:rsidP="00C95C85">
      <w:pPr>
        <w:ind w:firstLineChars="200" w:firstLine="420"/>
      </w:pPr>
      <w:r>
        <w:rPr>
          <w:rFonts w:hint="eastAsia"/>
        </w:rPr>
        <w:t>“通过讲解，我们了解了如何对厨余垃圾、可回收垃圾、有害垃圾及其他垃圾进行正确分类，更认识到要使我们的家园更加美丽，就要从身边做起、从点滴做起。”艾山街道名郡社区居民张女士说。近日，钢城区城市管理局走进艾山名郡社区，开展垃圾分类宣传活动，引导社区居民做好源头分类，养成良好的生活习惯。推进生活垃圾分类深入开展，是钢城区城管局推进全国文明典范城市创建工作的一个缩影。今年以来，钢城区城管局坚持高标准做好城市精细化管理各项工作，持续深入开展全国文明典范城市创建，为市民打造舒适宜居的城市环境。</w:t>
      </w:r>
    </w:p>
    <w:p w:rsidR="00C95C85" w:rsidRDefault="00C95C85" w:rsidP="00C95C85">
      <w:pPr>
        <w:ind w:firstLineChars="200" w:firstLine="420"/>
      </w:pPr>
      <w:r>
        <w:rPr>
          <w:rFonts w:hint="eastAsia"/>
        </w:rPr>
        <w:t>整治市容环境，提升城市品质。以专项整治提升行动为抓手，加大占道经营整治力度和监管力度，清理占道经营约</w:t>
      </w:r>
      <w:r>
        <w:t>4900</w:t>
      </w:r>
      <w:r>
        <w:t>余次，规范店外经营</w:t>
      </w:r>
      <w:r>
        <w:t>2300</w:t>
      </w:r>
      <w:r>
        <w:t>余次。持续推进全区</w:t>
      </w:r>
      <w:r>
        <w:t>21</w:t>
      </w:r>
      <w:r>
        <w:t>条背街小巷的治理工作，累计清理垃圾死角</w:t>
      </w:r>
      <w:r>
        <w:t>2698</w:t>
      </w:r>
      <w:r>
        <w:t>处、乱贴乱画</w:t>
      </w:r>
      <w:r>
        <w:t>3096</w:t>
      </w:r>
      <w:r>
        <w:t>处，整治私搭乱建</w:t>
      </w:r>
      <w:r>
        <w:t>2087</w:t>
      </w:r>
      <w:r>
        <w:t>平方米。专项治理违规设置、影响观瞻、陈旧破损的户外广告和牌匾标识，整治户外广告</w:t>
      </w:r>
      <w:r>
        <w:t>224</w:t>
      </w:r>
      <w:r>
        <w:t>处</w:t>
      </w:r>
      <w:r>
        <w:t>1349</w:t>
      </w:r>
      <w:r>
        <w:t>平方米，整治牌匾</w:t>
      </w:r>
      <w:r>
        <w:t>212</w:t>
      </w:r>
      <w:r>
        <w:t>处</w:t>
      </w:r>
      <w:r>
        <w:t>1680</w:t>
      </w:r>
      <w:r>
        <w:t>平方米。统一规范设置钢都大街东段、新兴路户外广告和商业牌匾标识，积极推进单身公寓路口至鲁百商厦路口杆线治理工作，有效整治</w:t>
      </w:r>
      <w:r>
        <w:t>“</w:t>
      </w:r>
      <w:r>
        <w:t>空中蜘蛛网</w:t>
      </w:r>
      <w:r>
        <w:t>”</w:t>
      </w:r>
      <w:r>
        <w:t>。对城</w:t>
      </w:r>
      <w:r>
        <w:rPr>
          <w:rFonts w:hint="eastAsia"/>
        </w:rPr>
        <w:t>区脏乱差现象进行集中治理，切实解决影响市容秩序和环境的突出问题。</w:t>
      </w:r>
    </w:p>
    <w:p w:rsidR="00C95C85" w:rsidRDefault="00C95C85" w:rsidP="00C95C85">
      <w:pPr>
        <w:ind w:firstLineChars="200" w:firstLine="420"/>
      </w:pPr>
      <w:r>
        <w:rPr>
          <w:rFonts w:hint="eastAsia"/>
        </w:rPr>
        <w:t>多渠道做好垃圾分类、清运工作。以考核为牵引，推行奖励机制，实施“以量定薪”，厨余垃圾收集点位由年初</w:t>
      </w:r>
      <w:r>
        <w:t>390</w:t>
      </w:r>
      <w:r>
        <w:t>个增加到</w:t>
      </w:r>
      <w:r>
        <w:t>470</w:t>
      </w:r>
      <w:r>
        <w:t>个，日收集量由年初</w:t>
      </w:r>
      <w:r>
        <w:t>14</w:t>
      </w:r>
      <w:r>
        <w:t>吨增加到</w:t>
      </w:r>
      <w:r>
        <w:t>30</w:t>
      </w:r>
      <w:r>
        <w:t>吨以上，实现日收集量超额完成。完成城区内主次干道撤桶并点，顺利撤掉</w:t>
      </w:r>
      <w:r>
        <w:t>800</w:t>
      </w:r>
      <w:r>
        <w:t>余个垃圾桶，以陈家庄、茶峪子社区为模板，继续推进垃圾箱房建设，目前金鼎实业负责的</w:t>
      </w:r>
      <w:r>
        <w:t>26</w:t>
      </w:r>
      <w:r>
        <w:t>个小区已完成选点工作。坚持生活垃圾日产日清，科学分配</w:t>
      </w:r>
      <w:r>
        <w:t>26</w:t>
      </w:r>
      <w:r>
        <w:t>台密封式压缩车工作任务，严格落实</w:t>
      </w:r>
      <w:r>
        <w:t>“</w:t>
      </w:r>
      <w:r>
        <w:t>定人、定车、定路线、定点、直运</w:t>
      </w:r>
      <w:r>
        <w:t>”</w:t>
      </w:r>
      <w:r>
        <w:t>。</w:t>
      </w:r>
    </w:p>
    <w:p w:rsidR="00C95C85" w:rsidRDefault="00C95C85" w:rsidP="00C95C85">
      <w:pPr>
        <w:ind w:firstLineChars="200" w:firstLine="420"/>
      </w:pPr>
      <w:r>
        <w:rPr>
          <w:rFonts w:hint="eastAsia"/>
        </w:rPr>
        <w:t>发力城市功能照明，让城市亮起来。完成东外环、南外环</w:t>
      </w:r>
      <w:r>
        <w:t>650</w:t>
      </w:r>
      <w:r>
        <w:t>杆路灯及变压器的安装，对莱钢移交</w:t>
      </w:r>
      <w:r>
        <w:t>4</w:t>
      </w:r>
      <w:r>
        <w:t>条道路完成路灯改造，消除城区黑灯路段。落实照明设施常态化维护，维修路灯</w:t>
      </w:r>
      <w:r>
        <w:t>160</w:t>
      </w:r>
      <w:r>
        <w:t>余盏，处理电缆故障点</w:t>
      </w:r>
      <w:r>
        <w:t>15</w:t>
      </w:r>
      <w:r>
        <w:t>处，更换损坏电缆</w:t>
      </w:r>
      <w:r>
        <w:t>824</w:t>
      </w:r>
      <w:r>
        <w:t>米，更换井盖</w:t>
      </w:r>
      <w:r>
        <w:t>74</w:t>
      </w:r>
      <w:r>
        <w:t>个，解决长明灯事故</w:t>
      </w:r>
      <w:r>
        <w:t>76</w:t>
      </w:r>
      <w:r>
        <w:t>起。截至目前，钢城区共有路灯照明和亮化设施</w:t>
      </w:r>
      <w:r>
        <w:t>6000</w:t>
      </w:r>
      <w:r>
        <w:t>杆，供电线路总长</w:t>
      </w:r>
      <w:r>
        <w:t>97.9</w:t>
      </w:r>
      <w:r>
        <w:t>公里，路灯照明的全面覆盖为市民夜间出行提供了有效的安全保障。下一步，区城管局将深入推进</w:t>
      </w:r>
      <w:r>
        <w:t>“</w:t>
      </w:r>
      <w:r>
        <w:t>照亮回家的路</w:t>
      </w:r>
      <w:r>
        <w:t>”</w:t>
      </w:r>
      <w:r>
        <w:t>民生工程，计划在</w:t>
      </w:r>
      <w:r>
        <w:t>10</w:t>
      </w:r>
      <w:r>
        <w:t>条道路</w:t>
      </w:r>
      <w:r>
        <w:t>69.52</w:t>
      </w:r>
      <w:r>
        <w:t>公里安装路灯</w:t>
      </w:r>
      <w:r>
        <w:t>2688</w:t>
      </w:r>
      <w:r>
        <w:t>杆、箱式变压器</w:t>
      </w:r>
      <w:r>
        <w:t>34</w:t>
      </w:r>
      <w:r>
        <w:t>处，实现道路</w:t>
      </w:r>
      <w:r>
        <w:rPr>
          <w:rFonts w:hint="eastAsia"/>
        </w:rPr>
        <w:t>照明无断点。</w:t>
      </w:r>
    </w:p>
    <w:p w:rsidR="00C95C85" w:rsidRDefault="00C95C85" w:rsidP="00C95C85">
      <w:pPr>
        <w:ind w:firstLineChars="200" w:firstLine="420"/>
      </w:pPr>
      <w:r>
        <w:rPr>
          <w:rFonts w:hint="eastAsia"/>
        </w:rPr>
        <w:t>加快推进汶水路智慧农贸市场建设。汶水路亲和农贸市场总占地面积约为</w:t>
      </w:r>
      <w:r>
        <w:t>4400</w:t>
      </w:r>
      <w:r>
        <w:t>平方米，是区城管局承担的区委区政府</w:t>
      </w:r>
      <w:r>
        <w:t>“</w:t>
      </w:r>
      <w:r>
        <w:t>为民办实事</w:t>
      </w:r>
      <w:r>
        <w:t>”</w:t>
      </w:r>
      <w:r>
        <w:t>之一，预计</w:t>
      </w:r>
      <w:r>
        <w:t>8</w:t>
      </w:r>
      <w:r>
        <w:t>月下旬正式开业运营。建成后的亲和农贸市场将引进</w:t>
      </w:r>
      <w:r>
        <w:t>“</w:t>
      </w:r>
      <w:r>
        <w:t>沃沃农贸</w:t>
      </w:r>
      <w:r>
        <w:t>”</w:t>
      </w:r>
      <w:r>
        <w:t>智慧农贸市场投资运营和管理平台，通过云计算、物联网等现代技术的创新应用，以智慧化、标准化方式改造和运营农贸市场。市场还将配备农残检测系统、农贸追溯系统，确保产品实现可追溯，把紧食品安全关。在使用客流采集系统、入口</w:t>
      </w:r>
      <w:r>
        <w:t>5G</w:t>
      </w:r>
      <w:r>
        <w:t>测温等技术的同时，亲和农贸市场还将实现智慧消防预警、智能垃圾处理等智慧化标准化管理运营，投入使用后可以有效</w:t>
      </w:r>
      <w:r>
        <w:rPr>
          <w:rFonts w:hint="eastAsia"/>
        </w:rPr>
        <w:t>满足周边</w:t>
      </w:r>
      <w:r>
        <w:t>1.5</w:t>
      </w:r>
      <w:r>
        <w:t>公里至</w:t>
      </w:r>
      <w:r>
        <w:t>3</w:t>
      </w:r>
      <w:r>
        <w:t>公里半径范围内居民的日常生活消费需求。</w:t>
      </w:r>
    </w:p>
    <w:p w:rsidR="00C95C85" w:rsidRDefault="00C95C85" w:rsidP="00C95C85">
      <w:pPr>
        <w:ind w:firstLineChars="200" w:firstLine="420"/>
      </w:pPr>
      <w:r>
        <w:rPr>
          <w:rFonts w:hint="eastAsia"/>
        </w:rPr>
        <w:t>“下一步，区城管局将对照全国文明典范城市创建要求，推进城市品质提升项目落地落实，靠前督导，主动跟进，办成办好各项民生实事，为建成现代化高品质美丽钢城贡献城管力量。”区城管局党组成员、副局长王成水说。</w:t>
      </w:r>
    </w:p>
    <w:p w:rsidR="00C95C85" w:rsidRDefault="00C95C85" w:rsidP="002836B0">
      <w:pPr>
        <w:jc w:val="right"/>
      </w:pPr>
      <w:r>
        <w:rPr>
          <w:rFonts w:hint="eastAsia"/>
        </w:rPr>
        <w:t>济南市人民政府</w:t>
      </w:r>
      <w:r>
        <w:rPr>
          <w:rFonts w:hint="eastAsia"/>
        </w:rPr>
        <w:t>2022-8-2</w:t>
      </w:r>
    </w:p>
    <w:p w:rsidR="00C95C85" w:rsidRDefault="00C95C85" w:rsidP="00805070">
      <w:pPr>
        <w:sectPr w:rsidR="00C95C85" w:rsidSect="00805070">
          <w:type w:val="continuous"/>
          <w:pgSz w:w="11906" w:h="16838"/>
          <w:pgMar w:top="1644" w:right="1236" w:bottom="1418" w:left="1814" w:header="851" w:footer="907" w:gutter="0"/>
          <w:pgNumType w:start="1"/>
          <w:cols w:space="720"/>
          <w:docGrid w:type="lines" w:linePitch="341" w:charSpace="2373"/>
        </w:sectPr>
      </w:pPr>
    </w:p>
    <w:p w:rsidR="002769BF" w:rsidRDefault="002769BF"/>
    <w:sectPr w:rsidR="002769BF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A00002EF" w:usb1="4000207B" w:usb2="00000000" w:usb3="00000000" w:csb0="0000009F" w:csb1="00000000"/>
  </w:font>
  <w:font w:name="宋体">
    <w:altName w:val="SimSun"/>
    <w:panose1 w:val="02010600030101010101"/>
    <w:charset w:val="86"/>
    <w:family w:val="auto"/>
    <w:pitch w:val="variable"/>
    <w:sig w:usb0="00000003" w:usb1="080E0000" w:usb2="00000010" w:usb3="00000000" w:csb0="00040001" w:csb1="00000000"/>
  </w:font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黑体">
    <w:altName w:val="SimHei"/>
    <w:panose1 w:val="02010600030101010101"/>
    <w:charset w:val="86"/>
    <w:family w:val="auto"/>
    <w:pitch w:val="variable"/>
    <w:sig w:usb0="00000001" w:usb1="080E0000" w:usb2="00000010" w:usb3="00000000" w:csb0="00040000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</w:compat>
  <w:rsids>
    <w:rsidRoot w:val="00C95C85"/>
    <w:rsid w:val="002769BF"/>
    <w:rsid w:val="00C95C85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Char"/>
    <w:qFormat/>
    <w:rsid w:val="00C95C85"/>
    <w:pPr>
      <w:widowControl/>
      <w:spacing w:before="100" w:beforeAutospacing="1" w:after="100" w:afterAutospacing="1"/>
      <w:ind w:firstLineChars="200" w:firstLine="643"/>
      <w:jc w:val="center"/>
      <w:outlineLvl w:val="0"/>
    </w:pPr>
    <w:rPr>
      <w:rFonts w:ascii="黑体" w:eastAsia="黑体" w:hAnsi="宋体" w:cs="Times New Roman"/>
      <w:b/>
      <w:kern w:val="36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标题 1 Char"/>
    <w:basedOn w:val="a0"/>
    <w:link w:val="1"/>
    <w:rsid w:val="00C95C85"/>
    <w:rPr>
      <w:rFonts w:ascii="黑体" w:eastAsia="黑体" w:hAnsi="宋体" w:cs="Times New Roman"/>
      <w:b/>
      <w:kern w:val="36"/>
      <w:sz w:val="32"/>
      <w:szCs w:val="32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214</Words>
  <Characters>1226</Characters>
  <Application>Microsoft Office Word</Application>
  <DocSecurity>0</DocSecurity>
  <Lines>10</Lines>
  <Paragraphs>2</Paragraphs>
  <ScaleCrop>false</ScaleCrop>
  <Company>Sky123.Org</Company>
  <LinksUpToDate>false</LinksUpToDate>
  <CharactersWithSpaces>1438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/>
  <cp:revision>1</cp:revision>
  <dcterms:created xsi:type="dcterms:W3CDTF">2022-08-18T02:40:00Z</dcterms:created>
</cp:coreProperties>
</file>