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EB" w:rsidRDefault="003316EB" w:rsidP="000F70F5">
      <w:pPr>
        <w:pStyle w:val="1"/>
      </w:pPr>
      <w:r w:rsidRPr="00084B96">
        <w:rPr>
          <w:rFonts w:hint="eastAsia"/>
        </w:rPr>
        <w:t>关于办理信息网络犯罪案件适用刑事诉讼程序若干问题的意见</w:t>
      </w:r>
    </w:p>
    <w:p w:rsidR="003316EB" w:rsidRDefault="003316EB" w:rsidP="003316EB">
      <w:pPr>
        <w:ind w:firstLineChars="200" w:firstLine="420"/>
        <w:jc w:val="left"/>
      </w:pPr>
      <w:r>
        <w:rPr>
          <w:rFonts w:hint="eastAsia"/>
        </w:rPr>
        <w:t>为依法惩治信息网络犯罪活动，根据《中华人民共和国刑法》《中华人民共和国刑事诉讼法》以及有关法律、司法解释的规定，结合侦查、起诉、审判实践，现就办理此类案件适用刑事诉讼程序问题提出以下意见。</w:t>
      </w:r>
    </w:p>
    <w:p w:rsidR="003316EB" w:rsidRDefault="003316EB" w:rsidP="003316EB">
      <w:pPr>
        <w:ind w:firstLineChars="200" w:firstLine="420"/>
        <w:jc w:val="left"/>
      </w:pPr>
      <w:r>
        <w:rPr>
          <w:rFonts w:hint="eastAsia"/>
        </w:rPr>
        <w:t>一、关于信息网络犯罪案件的范围</w:t>
      </w:r>
    </w:p>
    <w:p w:rsidR="003316EB" w:rsidRDefault="003316EB" w:rsidP="003316EB">
      <w:pPr>
        <w:ind w:firstLineChars="200" w:firstLine="420"/>
        <w:jc w:val="left"/>
      </w:pPr>
      <w:r>
        <w:t>1.</w:t>
      </w:r>
      <w:r>
        <w:t>本意见所称信息网络犯罪案件包括：</w:t>
      </w:r>
    </w:p>
    <w:p w:rsidR="003316EB" w:rsidRDefault="003316EB" w:rsidP="003316EB">
      <w:pPr>
        <w:ind w:firstLineChars="200" w:firstLine="420"/>
        <w:jc w:val="left"/>
      </w:pPr>
      <w:r>
        <w:rPr>
          <w:rFonts w:hint="eastAsia"/>
        </w:rPr>
        <w:t>（</w:t>
      </w:r>
      <w:r>
        <w:t>1</w:t>
      </w:r>
      <w:r>
        <w:t>）危害计算机信息系统安全犯罪案件；</w:t>
      </w:r>
    </w:p>
    <w:p w:rsidR="003316EB" w:rsidRDefault="003316EB" w:rsidP="003316EB">
      <w:pPr>
        <w:ind w:firstLineChars="200" w:firstLine="420"/>
        <w:jc w:val="left"/>
      </w:pPr>
      <w:r>
        <w:rPr>
          <w:rFonts w:hint="eastAsia"/>
        </w:rPr>
        <w:t>（</w:t>
      </w:r>
      <w:r>
        <w:t>2</w:t>
      </w:r>
      <w:r>
        <w:t>）拒不履行信息网络安全管理义务、非法利用信息网络、帮助信息网络犯罪活动的犯罪案件；</w:t>
      </w:r>
    </w:p>
    <w:p w:rsidR="003316EB" w:rsidRDefault="003316EB" w:rsidP="003316EB">
      <w:pPr>
        <w:ind w:firstLineChars="200" w:firstLine="420"/>
        <w:jc w:val="left"/>
      </w:pPr>
      <w:r>
        <w:rPr>
          <w:rFonts w:hint="eastAsia"/>
        </w:rPr>
        <w:t>（</w:t>
      </w:r>
      <w:r>
        <w:t>3</w:t>
      </w:r>
      <w:r>
        <w:t>）主要行为通过信息网络实施的诈骗、赌博、侵犯公民个人信息等其他犯罪案件。</w:t>
      </w:r>
    </w:p>
    <w:p w:rsidR="003316EB" w:rsidRDefault="003316EB" w:rsidP="003316EB">
      <w:pPr>
        <w:ind w:firstLineChars="200" w:firstLine="420"/>
        <w:jc w:val="left"/>
      </w:pPr>
      <w:r>
        <w:rPr>
          <w:rFonts w:hint="eastAsia"/>
        </w:rPr>
        <w:t>二、关于信息网络犯罪案件的管辖</w:t>
      </w:r>
    </w:p>
    <w:p w:rsidR="003316EB" w:rsidRDefault="003316EB" w:rsidP="003316EB">
      <w:pPr>
        <w:ind w:firstLineChars="200" w:firstLine="420"/>
        <w:jc w:val="left"/>
      </w:pPr>
      <w:r>
        <w:t>2.</w:t>
      </w:r>
      <w:r>
        <w:t>信息网络犯罪案件由犯罪地公安机关立案侦查。必要时，可以由犯罪嫌疑人居住地公安机关立案侦查。</w:t>
      </w:r>
    </w:p>
    <w:p w:rsidR="003316EB" w:rsidRDefault="003316EB" w:rsidP="003316EB">
      <w:pPr>
        <w:ind w:firstLineChars="200" w:firstLine="420"/>
        <w:jc w:val="left"/>
      </w:pPr>
      <w:r>
        <w:rPr>
          <w:rFonts w:hint="eastAsia"/>
        </w:rPr>
        <w:t>信息网络犯罪案件的犯罪地包括用于实施犯罪行为的网络服务使用的服务器所在地，网络服务提供者所在地，被侵害的信息网络系统及其管理者所在地，犯罪过程中犯罪嫌疑人、被害人或者其他涉案人员使用的信息网络系统所在地，被害人被侵害时所在地以及被害人财产遭受损失地等。</w:t>
      </w:r>
    </w:p>
    <w:p w:rsidR="003316EB" w:rsidRDefault="003316EB" w:rsidP="003316EB">
      <w:pPr>
        <w:ind w:firstLineChars="200" w:firstLine="420"/>
        <w:jc w:val="left"/>
      </w:pPr>
      <w:r>
        <w:rPr>
          <w:rFonts w:hint="eastAsia"/>
        </w:rPr>
        <w:t>涉及多个环节的信息网络犯罪案件，犯罪嫌疑人为信息网络犯罪提供帮助的，其犯罪地、居住地或者被帮助对象的犯罪地公安机关可以立案侦查。</w:t>
      </w:r>
    </w:p>
    <w:p w:rsidR="003316EB" w:rsidRDefault="003316EB" w:rsidP="003316EB">
      <w:pPr>
        <w:ind w:firstLineChars="200" w:firstLine="420"/>
        <w:jc w:val="left"/>
      </w:pPr>
      <w:r>
        <w:t>3.</w:t>
      </w:r>
      <w:r>
        <w:t>有多个犯罪地的信息网络犯罪案件，由最初受理的公安机关或者主要犯罪地公安机关立案侦查。有争议的，按照有利于查清犯罪事实、有利于诉讼的原则，协商解决；经协商无法达成一致的，由共同上级公安机关指定有关公安机关立案侦查。需要提请批准逮捕、移送审查起诉、提起公诉的，由立案侦查的公安机关所在地的人民检察院、人民法院受理。</w:t>
      </w:r>
    </w:p>
    <w:p w:rsidR="003316EB" w:rsidRDefault="003316EB" w:rsidP="003316EB">
      <w:pPr>
        <w:ind w:firstLineChars="200" w:firstLine="420"/>
        <w:jc w:val="left"/>
      </w:pPr>
      <w:r>
        <w:t>4.</w:t>
      </w:r>
      <w:r>
        <w:t>具有下列情形之一的，公安机关、人民检察院、人民法院可以在其职责范围内并案处理：</w:t>
      </w:r>
    </w:p>
    <w:p w:rsidR="003316EB" w:rsidRDefault="003316EB" w:rsidP="003316EB">
      <w:pPr>
        <w:ind w:firstLineChars="200" w:firstLine="420"/>
        <w:jc w:val="left"/>
      </w:pPr>
      <w:r>
        <w:rPr>
          <w:rFonts w:hint="eastAsia"/>
        </w:rPr>
        <w:t>（</w:t>
      </w:r>
      <w:r>
        <w:t>1</w:t>
      </w:r>
      <w:r>
        <w:t>）一人犯数罪的；</w:t>
      </w:r>
    </w:p>
    <w:p w:rsidR="003316EB" w:rsidRDefault="003316EB" w:rsidP="003316EB">
      <w:pPr>
        <w:ind w:firstLineChars="200" w:firstLine="420"/>
        <w:jc w:val="left"/>
      </w:pPr>
      <w:r>
        <w:rPr>
          <w:rFonts w:hint="eastAsia"/>
        </w:rPr>
        <w:t>（</w:t>
      </w:r>
      <w:r>
        <w:t>2</w:t>
      </w:r>
      <w:r>
        <w:t>）共同犯罪的；</w:t>
      </w:r>
    </w:p>
    <w:p w:rsidR="003316EB" w:rsidRDefault="003316EB" w:rsidP="003316EB">
      <w:pPr>
        <w:ind w:firstLineChars="200" w:firstLine="420"/>
        <w:jc w:val="left"/>
      </w:pPr>
      <w:r>
        <w:rPr>
          <w:rFonts w:hint="eastAsia"/>
        </w:rPr>
        <w:t>（</w:t>
      </w:r>
      <w:r>
        <w:t>3</w:t>
      </w:r>
      <w:r>
        <w:t>）共同犯罪的犯罪嫌疑人、被告人还实施其他犯罪的；</w:t>
      </w:r>
    </w:p>
    <w:p w:rsidR="003316EB" w:rsidRDefault="003316EB" w:rsidP="003316EB">
      <w:pPr>
        <w:ind w:firstLineChars="200" w:firstLine="420"/>
        <w:jc w:val="left"/>
      </w:pPr>
      <w:r>
        <w:rPr>
          <w:rFonts w:hint="eastAsia"/>
        </w:rPr>
        <w:t>（</w:t>
      </w:r>
      <w:r>
        <w:t>4</w:t>
      </w:r>
      <w:r>
        <w:t>）多个犯罪嫌疑人、被告人实施的犯罪行为存在关联，并案处理有利于查明全部案件事实的。</w:t>
      </w:r>
    </w:p>
    <w:p w:rsidR="003316EB" w:rsidRDefault="003316EB" w:rsidP="003316EB">
      <w:pPr>
        <w:ind w:firstLineChars="200" w:firstLine="420"/>
        <w:jc w:val="left"/>
      </w:pPr>
      <w:r>
        <w:rPr>
          <w:rFonts w:hint="eastAsia"/>
        </w:rPr>
        <w:t>对为信息网络犯罪提供程序开发、互联网接入、服务器托管、网络存储、通讯传输等技术支持，或者广告推广、支付结算等帮助，涉嫌犯罪的，可以依照第一款的规定并案侦查。</w:t>
      </w:r>
    </w:p>
    <w:p w:rsidR="003316EB" w:rsidRDefault="003316EB" w:rsidP="003316EB">
      <w:pPr>
        <w:ind w:firstLineChars="200" w:firstLine="420"/>
        <w:jc w:val="left"/>
      </w:pPr>
      <w:r>
        <w:rPr>
          <w:rFonts w:hint="eastAsia"/>
        </w:rPr>
        <w:t>有关公安机关依照前两款规定并案侦查的案件，需要提请批准逮捕、移送审查起诉、提起公诉的，由该公安机关所在地的人民检察院、人民法院受理。</w:t>
      </w:r>
    </w:p>
    <w:p w:rsidR="003316EB" w:rsidRDefault="003316EB" w:rsidP="003316EB">
      <w:pPr>
        <w:ind w:firstLineChars="200" w:firstLine="420"/>
        <w:jc w:val="left"/>
      </w:pPr>
      <w:r>
        <w:t>5.</w:t>
      </w:r>
      <w:r>
        <w:t>并案侦查的共同犯罪或者关联犯罪案件，犯罪嫌疑人人数众多、案情复杂的，公安机关可以分案移送审查起诉。分案移送审查起诉的，应当对并案侦查的依据、分案移送审查起诉的理由作出说明。</w:t>
      </w:r>
    </w:p>
    <w:p w:rsidR="003316EB" w:rsidRDefault="003316EB" w:rsidP="003316EB">
      <w:pPr>
        <w:ind w:firstLineChars="200" w:firstLine="420"/>
        <w:jc w:val="left"/>
      </w:pPr>
      <w:r>
        <w:rPr>
          <w:rFonts w:hint="eastAsia"/>
        </w:rPr>
        <w:t>对于前款规定的案件，人民检察院可以分案提起公诉，人民法院可以分案审理。</w:t>
      </w:r>
    </w:p>
    <w:p w:rsidR="003316EB" w:rsidRDefault="003316EB" w:rsidP="003316EB">
      <w:pPr>
        <w:ind w:firstLineChars="200" w:firstLine="420"/>
        <w:jc w:val="left"/>
      </w:pPr>
      <w:r>
        <w:rPr>
          <w:rFonts w:hint="eastAsia"/>
        </w:rPr>
        <w:t>分案处理应当以有利于保障诉讼质量和效率为前提，并不得影响当事人质证权等诉讼权利的行使。</w:t>
      </w:r>
    </w:p>
    <w:p w:rsidR="003316EB" w:rsidRDefault="003316EB" w:rsidP="003316EB">
      <w:pPr>
        <w:ind w:firstLineChars="200" w:firstLine="420"/>
        <w:jc w:val="left"/>
      </w:pPr>
      <w:r>
        <w:t>6.</w:t>
      </w:r>
      <w:r>
        <w:t>依照前条规定分案处理，公安机关、人民检察院、人民法院在分案前有管辖权的，分案后对相关案件的管辖权不受影响。根据具体情况，分案处理的相关案件可以由不同审级的人民法院分别审理。</w:t>
      </w:r>
    </w:p>
    <w:p w:rsidR="003316EB" w:rsidRDefault="003316EB" w:rsidP="003316EB">
      <w:pPr>
        <w:ind w:firstLineChars="200" w:firstLine="420"/>
        <w:jc w:val="left"/>
      </w:pPr>
      <w:r>
        <w:t>7.</w:t>
      </w:r>
      <w:r>
        <w:t>对于共同犯罪或者已并案侦查的关联犯罪案件，部分犯罪嫌疑人未到案，但不影响对已到案共同犯罪或者关联犯罪的犯罪嫌疑人、被告人的犯罪事实认定的，可以先行追究已到案犯罪嫌疑人、被告人的刑事责任。之前未到案的犯罪嫌疑人、被告人归案后，可以由原办案机关所在地公安机关、人民检察院、人民法院管辖其所涉及的案件。</w:t>
      </w:r>
    </w:p>
    <w:p w:rsidR="003316EB" w:rsidRDefault="003316EB" w:rsidP="003316EB">
      <w:pPr>
        <w:ind w:firstLineChars="200" w:firstLine="420"/>
        <w:jc w:val="left"/>
      </w:pPr>
      <w:r>
        <w:t>8.</w:t>
      </w:r>
      <w:r>
        <w:t>对于具有特殊情况，跨省（自治区、直辖市）指定异地公安机关侦查更有利于查清犯罪事实、保证案件公正处理的重大信息网络犯罪案件，以及在境外实施的信息网络犯罪案件，公安部可以商最高人民检察院和最高人民法院指定侦查管辖。</w:t>
      </w:r>
    </w:p>
    <w:p w:rsidR="003316EB" w:rsidRDefault="003316EB" w:rsidP="003316EB">
      <w:pPr>
        <w:ind w:firstLineChars="200" w:firstLine="420"/>
        <w:jc w:val="left"/>
      </w:pPr>
      <w:r>
        <w:t>9.</w:t>
      </w:r>
      <w:r>
        <w:t>人民检察院对于审查起诉的案件，按照刑事诉讼法的管辖规定，认为应当由上级人民检察院或者同级其他人民检察院起诉的，应当将案件移送有管辖权的人民检察院，并通知移送起诉的公安机关。人民检察院认为需要依照刑事诉讼法的规定指定审判管辖的，应当协商同级人民法院办理指定管辖有关事宜。</w:t>
      </w:r>
    </w:p>
    <w:p w:rsidR="003316EB" w:rsidRDefault="003316EB" w:rsidP="003316EB">
      <w:pPr>
        <w:ind w:firstLineChars="200" w:firstLine="420"/>
        <w:jc w:val="left"/>
      </w:pPr>
      <w:r>
        <w:t>10.</w:t>
      </w:r>
      <w:r>
        <w:t>犯罪嫌疑人被多个公安机关立案侦查的，有关公安机关一般应当协商并案处理，并依法移送案件。协商不成的，可以报请共同上级公安机关指定管辖。</w:t>
      </w:r>
    </w:p>
    <w:p w:rsidR="003316EB" w:rsidRDefault="003316EB" w:rsidP="003316EB">
      <w:pPr>
        <w:ind w:firstLineChars="200" w:firstLine="420"/>
        <w:jc w:val="left"/>
      </w:pPr>
      <w:r>
        <w:rPr>
          <w:rFonts w:hint="eastAsia"/>
        </w:rPr>
        <w:t>人民检察院对于审查起诉的案件，发现犯罪嫌疑人还有犯罪被异地公安机关立案侦查的，应当通知移送审查起诉的公安机关。</w:t>
      </w:r>
    </w:p>
    <w:p w:rsidR="003316EB" w:rsidRDefault="003316EB" w:rsidP="003316EB">
      <w:pPr>
        <w:ind w:firstLineChars="200" w:firstLine="420"/>
        <w:jc w:val="left"/>
      </w:pPr>
      <w:r>
        <w:rPr>
          <w:rFonts w:hint="eastAsia"/>
        </w:rPr>
        <w:t>人民法院对于提起公诉的案件，发现被告人还有其他犯罪被审查起诉、立案侦查的，可以协商人民检察院、公安机关并案处理，但可能造成审判过分迟延的除外。决定对有关犯罪并案处理，符合《中华人民共和国刑事诉讼法》第二百零四条规定的，人民检察院可以建议人民法院延期审理。</w:t>
      </w:r>
    </w:p>
    <w:p w:rsidR="003316EB" w:rsidRDefault="003316EB" w:rsidP="003316EB">
      <w:pPr>
        <w:ind w:firstLineChars="200" w:firstLine="420"/>
        <w:jc w:val="left"/>
      </w:pPr>
      <w:r>
        <w:rPr>
          <w:rFonts w:hint="eastAsia"/>
        </w:rPr>
        <w:t>三、关于信息网络犯罪案件的调查核实</w:t>
      </w:r>
    </w:p>
    <w:p w:rsidR="003316EB" w:rsidRDefault="003316EB" w:rsidP="003316EB">
      <w:pPr>
        <w:ind w:firstLineChars="200" w:firstLine="420"/>
        <w:jc w:val="left"/>
      </w:pPr>
      <w:r>
        <w:t>11.</w:t>
      </w:r>
      <w:r>
        <w:t>公安机关对接受的案件或者发现的犯罪线索，在审查中发现案件事实或者线索不明，需要经过调查才能够确认是否达到刑事立案标准的，经公安机关办案部门负责人批准，可以进行调查核实；经过调查核实达到刑事立案标准的，应当及时立案。</w:t>
      </w:r>
    </w:p>
    <w:p w:rsidR="003316EB" w:rsidRDefault="003316EB" w:rsidP="003316EB">
      <w:pPr>
        <w:ind w:firstLineChars="200" w:firstLine="420"/>
        <w:jc w:val="left"/>
      </w:pPr>
      <w:r>
        <w:t>12.</w:t>
      </w:r>
      <w:r>
        <w:t>调查核实过程中，可以采取询问、查询、勘验、检查、鉴定、调取证据材料等不限制被调查对象人身、财产权利的措施，不得对被调查对象采取强制措施，不得查封、扣押、冻结被调查对象的财产，不得采取技术侦查措施。</w:t>
      </w:r>
    </w:p>
    <w:p w:rsidR="003316EB" w:rsidRDefault="003316EB" w:rsidP="003316EB">
      <w:pPr>
        <w:ind w:firstLineChars="200" w:firstLine="420"/>
        <w:jc w:val="left"/>
      </w:pPr>
      <w:r>
        <w:t>13.</w:t>
      </w:r>
      <w:r>
        <w:t>公安机关在调查核实过程中依法收集的电子数据等材料，可以根据有关规定作为证据使用。</w:t>
      </w:r>
    </w:p>
    <w:p w:rsidR="003316EB" w:rsidRDefault="003316EB" w:rsidP="003316EB">
      <w:pPr>
        <w:ind w:firstLineChars="200" w:firstLine="420"/>
        <w:jc w:val="left"/>
      </w:pPr>
      <w:r>
        <w:rPr>
          <w:rFonts w:hint="eastAsia"/>
        </w:rPr>
        <w:t>调查核实过程中收集的材料作为证据使用的，应当随案移送，并附批准调查核实的相关材料。</w:t>
      </w:r>
    </w:p>
    <w:p w:rsidR="003316EB" w:rsidRDefault="003316EB" w:rsidP="003316EB">
      <w:pPr>
        <w:ind w:firstLineChars="200" w:firstLine="420"/>
        <w:jc w:val="left"/>
      </w:pPr>
      <w:r>
        <w:rPr>
          <w:rFonts w:hint="eastAsia"/>
        </w:rPr>
        <w:t>调查核实过程中收集的证据材料经查证属实，且收集程序符合有关要求的，可以作为定案依据。</w:t>
      </w:r>
    </w:p>
    <w:p w:rsidR="003316EB" w:rsidRDefault="003316EB" w:rsidP="003316EB">
      <w:pPr>
        <w:ind w:firstLineChars="200" w:firstLine="420"/>
        <w:jc w:val="left"/>
      </w:pPr>
      <w:r>
        <w:rPr>
          <w:rFonts w:hint="eastAsia"/>
        </w:rPr>
        <w:t>四、关于信息网络犯罪案件的取证</w:t>
      </w:r>
    </w:p>
    <w:p w:rsidR="003316EB" w:rsidRDefault="003316EB" w:rsidP="003316EB">
      <w:pPr>
        <w:ind w:firstLineChars="200" w:firstLine="420"/>
        <w:jc w:val="left"/>
      </w:pPr>
      <w:r>
        <w:t>14.</w:t>
      </w:r>
      <w:r>
        <w:t>公安机关向网络服务提供者调取电子数据的，应当制作调取证据通知书，注明需要调取的电子数据的相关信息。调取证据通知书及相关法律文书可以采用数据电文形式。跨地域调取电子数据的，可以通过公安机关信息化系统传输相关数据电文。</w:t>
      </w:r>
    </w:p>
    <w:p w:rsidR="003316EB" w:rsidRDefault="003316EB" w:rsidP="003316EB">
      <w:pPr>
        <w:ind w:firstLineChars="200" w:firstLine="420"/>
        <w:jc w:val="left"/>
      </w:pPr>
      <w:r>
        <w:rPr>
          <w:rFonts w:hint="eastAsia"/>
        </w:rPr>
        <w:t>网络服务提供者向公安机关提供电子数据的，可以采用数据电文形式。采用数据电文形式提供电子数据的，应当保证电子数据的完整性，并制作电子证明文件，载明调证法律文书编号、单位电子公章、完整性校验值等保护电子数据完整性方法的说明等信息。</w:t>
      </w:r>
    </w:p>
    <w:p w:rsidR="003316EB" w:rsidRDefault="003316EB" w:rsidP="003316EB">
      <w:pPr>
        <w:ind w:firstLineChars="200" w:firstLine="420"/>
        <w:jc w:val="left"/>
      </w:pPr>
      <w:r>
        <w:rPr>
          <w:rFonts w:hint="eastAsia"/>
        </w:rPr>
        <w:t>数据电文形式的法律文书和电子证明文件，应当使用电子签名、数字水印等方式保证完整性。</w:t>
      </w:r>
    </w:p>
    <w:p w:rsidR="003316EB" w:rsidRDefault="003316EB" w:rsidP="003316EB">
      <w:pPr>
        <w:ind w:firstLineChars="200" w:firstLine="420"/>
        <w:jc w:val="left"/>
      </w:pPr>
      <w:r>
        <w:t>15.</w:t>
      </w:r>
      <w:r>
        <w:t>询（讯）问异地证人、被害人以及与案件有关联的犯罪嫌疑人的，可以由办案地公安机关通过远程网络视频等方式进行并制作笔录。</w:t>
      </w:r>
    </w:p>
    <w:p w:rsidR="003316EB" w:rsidRDefault="003316EB" w:rsidP="003316EB">
      <w:pPr>
        <w:ind w:firstLineChars="200" w:firstLine="420"/>
        <w:jc w:val="left"/>
      </w:pPr>
      <w:r>
        <w:rPr>
          <w:rFonts w:hint="eastAsia"/>
        </w:rPr>
        <w:t>远程询（讯）问的，应当由协作地公安机关事先核实被询（讯）问人的身份。办案地公安机关应当将询（讯）问笔录传输至协作地公安机关。询（讯）问笔录经被询（讯）问人确认并逐页签名、捺指印后，由协作地公安机关协作人员签名或者盖章，并将原件提供给办案地公安机关。询（讯）问人员收到笔录后，应当在首页右上方写明“于某年某月某日收到”，并签名或者盖章。</w:t>
      </w:r>
    </w:p>
    <w:p w:rsidR="003316EB" w:rsidRDefault="003316EB" w:rsidP="003316EB">
      <w:pPr>
        <w:ind w:firstLineChars="200" w:firstLine="420"/>
        <w:jc w:val="left"/>
      </w:pPr>
      <w:r>
        <w:rPr>
          <w:rFonts w:hint="eastAsia"/>
        </w:rPr>
        <w:t>远程询（讯）问的，应当对询（讯）问过程同步录音录像，并随案移送。</w:t>
      </w:r>
    </w:p>
    <w:p w:rsidR="003316EB" w:rsidRDefault="003316EB" w:rsidP="003316EB">
      <w:pPr>
        <w:ind w:firstLineChars="200" w:firstLine="420"/>
        <w:jc w:val="left"/>
      </w:pPr>
      <w:r>
        <w:rPr>
          <w:rFonts w:hint="eastAsia"/>
        </w:rPr>
        <w:t>异地证人、被害人以及与案件有关联的犯罪嫌疑人亲笔书写证词、供词的，参照执行本条第二款规定。</w:t>
      </w:r>
    </w:p>
    <w:p w:rsidR="003316EB" w:rsidRDefault="003316EB" w:rsidP="003316EB">
      <w:pPr>
        <w:ind w:firstLineChars="200" w:firstLine="420"/>
        <w:jc w:val="left"/>
      </w:pPr>
      <w:r>
        <w:t>16.</w:t>
      </w:r>
      <w:r>
        <w:t>人民检察院依法自行侦查、补充侦查，或者人民法院调查核实相关证据的，适用本意见第</w:t>
      </w:r>
      <w:r>
        <w:t>14</w:t>
      </w:r>
      <w:r>
        <w:t>条、第</w:t>
      </w:r>
      <w:r>
        <w:t>15</w:t>
      </w:r>
      <w:r>
        <w:t>条的有关规定。</w:t>
      </w:r>
    </w:p>
    <w:p w:rsidR="003316EB" w:rsidRDefault="003316EB" w:rsidP="003316EB">
      <w:pPr>
        <w:ind w:firstLineChars="200" w:firstLine="420"/>
        <w:jc w:val="left"/>
      </w:pPr>
      <w:r>
        <w:t>17.</w:t>
      </w:r>
      <w:r>
        <w:t>对于依照本意见第</w:t>
      </w:r>
      <w:r>
        <w:t>14</w:t>
      </w:r>
      <w:r>
        <w:t>条的规定调取的电子数据，人民检察院、人民法院可以通过核验电子签名、数字水印、电子数据完整性校验值及调证法律文书编号是否与证明文件相一致等方式，对电子数据进行审查判断。</w:t>
      </w:r>
    </w:p>
    <w:p w:rsidR="003316EB" w:rsidRDefault="003316EB" w:rsidP="003316EB">
      <w:pPr>
        <w:ind w:firstLineChars="200" w:firstLine="420"/>
        <w:jc w:val="left"/>
      </w:pPr>
      <w:r>
        <w:rPr>
          <w:rFonts w:hint="eastAsia"/>
        </w:rPr>
        <w:t>对调取的电子数据有疑问的，由公安机关、提供电子数据的网络服务提供者作出说明，或者由原调取机关补充收集相关证据。</w:t>
      </w:r>
    </w:p>
    <w:p w:rsidR="003316EB" w:rsidRDefault="003316EB" w:rsidP="003316EB">
      <w:pPr>
        <w:ind w:firstLineChars="200" w:firstLine="420"/>
        <w:jc w:val="left"/>
      </w:pPr>
      <w:r>
        <w:rPr>
          <w:rFonts w:hint="eastAsia"/>
        </w:rPr>
        <w:t>五、关于信息网络犯罪案件的其他问题</w:t>
      </w:r>
    </w:p>
    <w:p w:rsidR="003316EB" w:rsidRDefault="003316EB" w:rsidP="003316EB">
      <w:pPr>
        <w:ind w:firstLineChars="200" w:firstLine="420"/>
        <w:jc w:val="left"/>
      </w:pPr>
      <w:r>
        <w:t>18.</w:t>
      </w:r>
      <w:r>
        <w:t>采取技术侦查措施收集的材料作为证据使用的，应当随案移送，并附采取技术侦查措施的法律文书、证据材料清单和有关说明材料。</w:t>
      </w:r>
    </w:p>
    <w:p w:rsidR="003316EB" w:rsidRDefault="003316EB" w:rsidP="003316EB">
      <w:pPr>
        <w:ind w:firstLineChars="200" w:firstLine="420"/>
        <w:jc w:val="left"/>
      </w:pPr>
      <w:r>
        <w:rPr>
          <w:rFonts w:hint="eastAsia"/>
        </w:rPr>
        <w:t>移送采取技术侦查措施收集的视听资料、电子数据的，应当由两名以上侦查人员制作复制件，并附制作说明，写明原始证据材料、原始存储介质的存放地点等信息，由制作人签名，并加盖单位印章。</w:t>
      </w:r>
    </w:p>
    <w:p w:rsidR="003316EB" w:rsidRDefault="003316EB" w:rsidP="003316EB">
      <w:pPr>
        <w:ind w:firstLineChars="200" w:firstLine="420"/>
        <w:jc w:val="left"/>
      </w:pPr>
      <w:r>
        <w:t>19.</w:t>
      </w:r>
      <w:r>
        <w:t>采取技术侦查措施收集的证据材料，应当经过当庭出示、辨认、质证等法庭调查程序查证。</w:t>
      </w:r>
    </w:p>
    <w:p w:rsidR="003316EB" w:rsidRDefault="003316EB" w:rsidP="003316EB">
      <w:pPr>
        <w:ind w:firstLineChars="200" w:firstLine="420"/>
        <w:jc w:val="left"/>
      </w:pPr>
      <w:r>
        <w:rPr>
          <w:rFonts w:hint="eastAsia"/>
        </w:rPr>
        <w:t>当庭调查技术侦查证据材料可能危及有关人员的人身安全，或者可能产生其他严重后果的，法庭应当采取不暴露有关人员身份和技术侦查措施使用的技术设备、技术方法等保护措施。必要时，审判人员可以在庭外对证据进行核实。</w:t>
      </w:r>
    </w:p>
    <w:p w:rsidR="003316EB" w:rsidRDefault="003316EB" w:rsidP="003316EB">
      <w:pPr>
        <w:ind w:firstLineChars="200" w:firstLine="420"/>
        <w:jc w:val="left"/>
      </w:pPr>
      <w:r>
        <w:t>20.</w:t>
      </w:r>
      <w:r>
        <w:t>办理信息网络犯罪案件，对于数量特别众多且具有同类性质、特征或者功能的物证、书证、证人证言、被害人陈述、视听资料、电子数据等证据材料，确因客观条件限制无法逐一收集的，应当按照一定比例或者数量选取证据，并对选取情况作出说明和论证。</w:t>
      </w:r>
    </w:p>
    <w:p w:rsidR="003316EB" w:rsidRDefault="003316EB" w:rsidP="003316EB">
      <w:pPr>
        <w:ind w:firstLineChars="200" w:firstLine="420"/>
        <w:jc w:val="left"/>
      </w:pPr>
      <w:r>
        <w:rPr>
          <w:rFonts w:hint="eastAsia"/>
        </w:rPr>
        <w:t>人民检察院、人民法院应当重点审查取证方法、过程是否科学。经审查认为取证不科学的，应当由原取证机关作出补充说明或者重新取证。</w:t>
      </w:r>
    </w:p>
    <w:p w:rsidR="003316EB" w:rsidRDefault="003316EB" w:rsidP="003316EB">
      <w:pPr>
        <w:ind w:firstLineChars="200" w:firstLine="420"/>
        <w:jc w:val="left"/>
      </w:pPr>
      <w:r>
        <w:rPr>
          <w:rFonts w:hint="eastAsia"/>
        </w:rPr>
        <w:t>人民检察院、人民法院应当结合其他证据材料，以及犯罪嫌疑人、被告人及其辩护人所提辩解、辩护意见，审查认定取得的证据。经审查，对相关事实不能排除合理怀疑的，应当作出有利于犯罪嫌疑人、被告人的认定。</w:t>
      </w:r>
    </w:p>
    <w:p w:rsidR="003316EB" w:rsidRDefault="003316EB" w:rsidP="003316EB">
      <w:pPr>
        <w:ind w:firstLineChars="200" w:firstLine="420"/>
        <w:jc w:val="left"/>
      </w:pPr>
      <w:r>
        <w:t>21.</w:t>
      </w:r>
      <w:r>
        <w:t>对于涉案人数特别众多的信息网络犯罪案件，确因客观条件限制无法收集证据逐一证明、逐人核实涉案账户的资金来源，但根据银行账户、非银行支付账户等交易记录和其他证据材料，足以认定有关账户主要用于接收、流转涉案资金的，可以按照该账户接收的资金数额认定犯罪数额，但犯罪嫌疑人、被告人能够作出合理说明的除外。案外人提出异议的，应当依法审查。</w:t>
      </w:r>
    </w:p>
    <w:p w:rsidR="003316EB" w:rsidRDefault="003316EB" w:rsidP="003316EB">
      <w:pPr>
        <w:ind w:firstLineChars="200" w:firstLine="420"/>
        <w:jc w:val="left"/>
      </w:pPr>
      <w:r>
        <w:t>22.</w:t>
      </w:r>
      <w:r>
        <w:t>办理信息网络犯罪案件</w:t>
      </w:r>
      <w:r>
        <w:t>,</w:t>
      </w:r>
      <w:r>
        <w:t>应当依法及时查封、扣押、冻结涉案财物，督促涉案人员退赃退赔，及时追赃挽损。</w:t>
      </w:r>
    </w:p>
    <w:p w:rsidR="003316EB" w:rsidRDefault="003316EB" w:rsidP="003316EB">
      <w:pPr>
        <w:ind w:firstLineChars="200" w:firstLine="420"/>
        <w:jc w:val="left"/>
      </w:pPr>
      <w:r>
        <w:rPr>
          <w:rFonts w:hint="eastAsia"/>
        </w:rPr>
        <w:t>公安机关应当全面收集证明涉案财物性质、权属情况、依法应予追缴、没收或者责令退赔的证据材料，在移送审查起诉时随案移送并作出说明。其中，涉案财物需要返还被害人的，应当尽可能查明被害人损失情况。人民检察院应当对涉案财物的证据材料进行审查，在提起公诉时提出处理意见。人民法院应当依法作出判决，对涉案财物作出处理。</w:t>
      </w:r>
    </w:p>
    <w:p w:rsidR="003316EB" w:rsidRDefault="003316EB" w:rsidP="003316EB">
      <w:pPr>
        <w:ind w:firstLineChars="200" w:firstLine="420"/>
        <w:jc w:val="left"/>
      </w:pPr>
      <w:r>
        <w:rPr>
          <w:rFonts w:hint="eastAsia"/>
        </w:rPr>
        <w:t>对应当返还被害人的合法财产，权属明确的，应当依法及时返还；权属不明的，应当在人民法院判决、裁定生效后，按比例返还被害人，但已获退赔的部分应予扣除。</w:t>
      </w:r>
    </w:p>
    <w:p w:rsidR="003316EB" w:rsidRDefault="003316EB" w:rsidP="003316EB">
      <w:pPr>
        <w:ind w:firstLineChars="200" w:firstLine="420"/>
        <w:jc w:val="left"/>
      </w:pPr>
      <w:r>
        <w:t>23.</w:t>
      </w:r>
      <w:r>
        <w:t>本意见自</w:t>
      </w:r>
      <w:r>
        <w:t>2022</w:t>
      </w:r>
      <w:r>
        <w:t>年</w:t>
      </w:r>
      <w:r>
        <w:t>9</w:t>
      </w:r>
      <w:r>
        <w:t>月</w:t>
      </w:r>
      <w:r>
        <w:t>1</w:t>
      </w:r>
      <w:r>
        <w:t>日起施行。《最高人民法院、最高人民检察院、公安部关于办理网络犯罪案件适用刑事诉讼程序若干问题的意见》（公通字〔</w:t>
      </w:r>
      <w:r>
        <w:t>2014</w:t>
      </w:r>
      <w:r>
        <w:t>〕</w:t>
      </w:r>
      <w:r>
        <w:t>10</w:t>
      </w:r>
      <w:r>
        <w:t>号）同时废止。</w:t>
      </w:r>
    </w:p>
    <w:p w:rsidR="003316EB" w:rsidRDefault="003316EB" w:rsidP="003316EB">
      <w:pPr>
        <w:ind w:firstLineChars="200" w:firstLine="420"/>
        <w:jc w:val="left"/>
      </w:pPr>
      <w:r>
        <w:rPr>
          <w:rFonts w:hint="eastAsia"/>
        </w:rPr>
        <w:t>最高人民法院</w:t>
      </w:r>
      <w:r>
        <w:t xml:space="preserve"> </w:t>
      </w:r>
      <w:r>
        <w:t>最高人民检察院</w:t>
      </w:r>
      <w:r>
        <w:t xml:space="preserve"> </w:t>
      </w:r>
      <w:r>
        <w:t>公安部</w:t>
      </w:r>
    </w:p>
    <w:p w:rsidR="003316EB" w:rsidRDefault="003316EB" w:rsidP="003316EB">
      <w:pPr>
        <w:ind w:firstLineChars="200" w:firstLine="420"/>
        <w:jc w:val="left"/>
      </w:pPr>
      <w:r>
        <w:t>2022</w:t>
      </w:r>
      <w:r>
        <w:t>年</w:t>
      </w:r>
      <w:r>
        <w:t>8</w:t>
      </w:r>
      <w:r>
        <w:t>月</w:t>
      </w:r>
      <w:r>
        <w:t>26</w:t>
      </w:r>
      <w:r>
        <w:t>日</w:t>
      </w:r>
    </w:p>
    <w:p w:rsidR="003316EB" w:rsidRDefault="003316EB" w:rsidP="003316EB">
      <w:pPr>
        <w:ind w:firstLineChars="200" w:firstLine="420"/>
        <w:jc w:val="right"/>
      </w:pPr>
      <w:r>
        <w:rPr>
          <w:rFonts w:hint="eastAsia"/>
        </w:rPr>
        <w:t>人民公安报</w:t>
      </w:r>
      <w:r>
        <w:rPr>
          <w:rFonts w:hint="eastAsia"/>
        </w:rPr>
        <w:t>2022-8-30</w:t>
      </w:r>
    </w:p>
    <w:p w:rsidR="003316EB" w:rsidRDefault="003316EB" w:rsidP="00A8763E">
      <w:pPr>
        <w:sectPr w:rsidR="003316EB" w:rsidSect="00A8763E">
          <w:type w:val="continuous"/>
          <w:pgSz w:w="11906" w:h="16838"/>
          <w:pgMar w:top="1644" w:right="1236" w:bottom="1418" w:left="1814" w:header="851" w:footer="907" w:gutter="0"/>
          <w:pgNumType w:start="1"/>
          <w:cols w:space="720"/>
          <w:docGrid w:type="lines" w:linePitch="341" w:charSpace="2373"/>
        </w:sectPr>
      </w:pPr>
    </w:p>
    <w:p w:rsidR="00547808" w:rsidRDefault="00547808"/>
    <w:sectPr w:rsidR="00547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6EB"/>
    <w:rsid w:val="003316EB"/>
    <w:rsid w:val="00547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16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16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3568</Characters>
  <Application>Microsoft Office Word</Application>
  <DocSecurity>0</DocSecurity>
  <Lines>29</Lines>
  <Paragraphs>8</Paragraphs>
  <ScaleCrop>false</ScaleCrop>
  <Company>Microsoft</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2022-09-09T09:09:00Z</dcterms:created>
</cp:coreProperties>
</file>