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40" w:rsidRDefault="00755A40" w:rsidP="000F70F5">
      <w:pPr>
        <w:pStyle w:val="1"/>
      </w:pPr>
      <w:r w:rsidRPr="00084B96">
        <w:rPr>
          <w:rFonts w:hint="eastAsia"/>
        </w:rPr>
        <w:t>最高人民法院研究室、最高人民检察院第四检察厅、公安部十一局负责人就《关于办理信息网络犯罪案件适用刑事诉讼程序若干问题的意见》答记者问</w:t>
      </w:r>
    </w:p>
    <w:p w:rsidR="00755A40" w:rsidRDefault="00755A40" w:rsidP="00755A40">
      <w:pPr>
        <w:ind w:firstLineChars="200" w:firstLine="420"/>
        <w:jc w:val="left"/>
      </w:pPr>
      <w:r>
        <w:t>8</w:t>
      </w:r>
      <w:r>
        <w:t>月</w:t>
      </w:r>
      <w:r>
        <w:t>30</w:t>
      </w:r>
      <w:r>
        <w:t>日，最高人民法院、最高人民检察院、公安部联合发布《关于办理信息网络犯罪案件适用刑事诉讼程序若干问题的意见》（法发〔</w:t>
      </w:r>
      <w:r>
        <w:t>2022</w:t>
      </w:r>
      <w:r>
        <w:t>〕</w:t>
      </w:r>
      <w:r>
        <w:t>23</w:t>
      </w:r>
      <w:r>
        <w:t>号，以下简称《意见》）。为便于司法实践准确理解与适用，最高人民法院研究室、最高人民检察院第四检察厅、公安部十一局有关负责人接受了采访。</w:t>
      </w:r>
    </w:p>
    <w:p w:rsidR="00755A40" w:rsidRDefault="00755A40" w:rsidP="00755A40">
      <w:pPr>
        <w:ind w:firstLineChars="200" w:firstLine="420"/>
        <w:jc w:val="left"/>
      </w:pPr>
      <w:r>
        <w:rPr>
          <w:rFonts w:hint="eastAsia"/>
        </w:rPr>
        <w:t>问：请介绍一下《意见》的制定背景和主要经过。</w:t>
      </w:r>
    </w:p>
    <w:p w:rsidR="00755A40" w:rsidRDefault="00755A40" w:rsidP="00755A40">
      <w:pPr>
        <w:ind w:firstLineChars="200" w:firstLine="420"/>
        <w:jc w:val="left"/>
      </w:pPr>
      <w:r>
        <w:rPr>
          <w:rFonts w:hint="eastAsia"/>
        </w:rPr>
        <w:t>答：</w:t>
      </w:r>
      <w:r>
        <w:t>2014</w:t>
      </w:r>
      <w:r>
        <w:t>年</w:t>
      </w:r>
      <w:r>
        <w:t>5</w:t>
      </w:r>
      <w:r>
        <w:t>月，最高人民法院、最高人民检察院、公安部联合发布了《关于办理网络犯罪案件适用刑事诉讼程序若干问题的意见》（公通字〔</w:t>
      </w:r>
      <w:r>
        <w:t>2014</w:t>
      </w:r>
      <w:r>
        <w:t>〕</w:t>
      </w:r>
      <w:r>
        <w:t>10</w:t>
      </w:r>
      <w:r>
        <w:t>号，以下简称《</w:t>
      </w:r>
      <w:r>
        <w:t>2014</w:t>
      </w:r>
      <w:r>
        <w:t>年意见》），对网络犯罪案件的范围、管辖、初查、跨地域取证、电子数据的收集与审查及其他问题作了规定。《</w:t>
      </w:r>
      <w:r>
        <w:t>2014</w:t>
      </w:r>
      <w:r>
        <w:t>年意见》的发布施行，对于依法惩治网络犯罪，有效维护正常网络秩序和人民群众合法权益，发挥了重要作用。</w:t>
      </w:r>
    </w:p>
    <w:p w:rsidR="00755A40" w:rsidRDefault="00755A40" w:rsidP="00755A40">
      <w:pPr>
        <w:ind w:firstLineChars="200" w:firstLine="420"/>
        <w:jc w:val="left"/>
      </w:pPr>
      <w:r>
        <w:rPr>
          <w:rFonts w:hint="eastAsia"/>
        </w:rPr>
        <w:t>近年来，我国信息技术应用广泛，数字经济飞速发展，信息网络犯罪案件随之快速增长。《涉信息网络犯罪特点和趋势（</w:t>
      </w:r>
      <w:r>
        <w:t>2017.1-2021.12</w:t>
      </w:r>
      <w:r>
        <w:t>）司法大数据专题报告》显示，</w:t>
      </w:r>
      <w:r>
        <w:t>2017</w:t>
      </w:r>
      <w:r>
        <w:t>年至</w:t>
      </w:r>
      <w:r>
        <w:t>2021</w:t>
      </w:r>
      <w:r>
        <w:t>年，全国法院一审审结涉信息网络犯罪案件共计</w:t>
      </w:r>
      <w:r>
        <w:t>28.2</w:t>
      </w:r>
      <w:r>
        <w:t>万余件，共涉及</w:t>
      </w:r>
      <w:r>
        <w:t>66</w:t>
      </w:r>
      <w:r>
        <w:t>万余名被告人，且案件数量呈逐年上升趋势，</w:t>
      </w:r>
      <w:r>
        <w:t>2018</w:t>
      </w:r>
      <w:r>
        <w:t>年、</w:t>
      </w:r>
      <w:r>
        <w:t>2019</w:t>
      </w:r>
      <w:r>
        <w:t>年、</w:t>
      </w:r>
      <w:r>
        <w:t>2020</w:t>
      </w:r>
      <w:r>
        <w:t>年、</w:t>
      </w:r>
      <w:r>
        <w:t>2021</w:t>
      </w:r>
      <w:r>
        <w:t>年分别同比上升</w:t>
      </w:r>
      <w:r>
        <w:t>57.18%</w:t>
      </w:r>
      <w:r>
        <w:t>、</w:t>
      </w:r>
      <w:r>
        <w:t>28.43%</w:t>
      </w:r>
      <w:r>
        <w:t>、</w:t>
      </w:r>
      <w:r>
        <w:t>20.90%</w:t>
      </w:r>
      <w:r>
        <w:t>、</w:t>
      </w:r>
      <w:r>
        <w:t>104.56%</w:t>
      </w:r>
      <w:r>
        <w:t>。其中，诈骗案件数量占比高达</w:t>
      </w:r>
      <w:r>
        <w:t>36.53%</w:t>
      </w:r>
      <w:r>
        <w:t>，开设赌场案件占比为</w:t>
      </w:r>
      <w:r>
        <w:t>14.81%</w:t>
      </w:r>
      <w:r>
        <w:t>。为有效遏制信息网络犯罪的增长态势，</w:t>
      </w:r>
      <w:r>
        <w:rPr>
          <w:rFonts w:hint="eastAsia"/>
        </w:rPr>
        <w:t>进一步加大惩治力度，迫切需要进一步完善相关刑事案件办理的程序规则。</w:t>
      </w:r>
    </w:p>
    <w:p w:rsidR="00755A40" w:rsidRDefault="00755A40" w:rsidP="00755A40">
      <w:pPr>
        <w:ind w:firstLineChars="200" w:firstLine="420"/>
        <w:jc w:val="left"/>
      </w:pPr>
      <w:r>
        <w:rPr>
          <w:rFonts w:hint="eastAsia"/>
        </w:rPr>
        <w:t>信息技术的进步在提高应用便捷性的同时，也降低了信息网络犯罪的技术门槛，而随着相关犯罪手段不断翻新，信息网络犯罪的链条性、跨地域性、涉众性特征更加突显，犯罪形态愈加复杂，社会危害愈加严重，防范、查处难度进一步加大。例如，电信网络诈骗的受害人往往遍布全国，而行为链条上负责技术支持、引流、资金转移、提现等各环节的行为人可能分布多地，有的甚至在境外，大量的异地取证工作制约案件侦办效率；再如，网络赌博的涉案资金、账户、参赌人员众多，为逃避打击，资金流转过程往往十分复杂，犯罪数额的认定面临诸多实际困难。有鉴于此，信息网络犯罪案件的程序规则必须与时俱进，作出相应调整完善。</w:t>
      </w:r>
    </w:p>
    <w:p w:rsidR="00755A40" w:rsidRDefault="00755A40" w:rsidP="00755A40">
      <w:pPr>
        <w:ind w:firstLineChars="200" w:firstLine="420"/>
        <w:jc w:val="left"/>
      </w:pPr>
      <w:r>
        <w:rPr>
          <w:rFonts w:hint="eastAsia"/>
        </w:rPr>
        <w:t>针对信息网络犯罪的快速增长和不断翻新，最高人民法院、最高人民检察院、公安部在《</w:t>
      </w:r>
      <w:r>
        <w:t>2014</w:t>
      </w:r>
      <w:r>
        <w:t>年意见》的基础上，深入调查研究，广泛征求意见，反复论证完善，制定了《意见》，对信息网络犯罪案件的程序作出统一规定。《意见》自</w:t>
      </w:r>
      <w:r>
        <w:t>2022</w:t>
      </w:r>
      <w:r>
        <w:t>年</w:t>
      </w:r>
      <w:r>
        <w:t>9</w:t>
      </w:r>
      <w:r>
        <w:t>月</w:t>
      </w:r>
      <w:r>
        <w:t>1</w:t>
      </w:r>
      <w:r>
        <w:t>日起施行，《</w:t>
      </w:r>
      <w:r>
        <w:t>2014</w:t>
      </w:r>
      <w:r>
        <w:t>年意见》同时废止。</w:t>
      </w:r>
    </w:p>
    <w:p w:rsidR="00755A40" w:rsidRDefault="00755A40" w:rsidP="00755A40">
      <w:pPr>
        <w:ind w:firstLineChars="200" w:firstLine="420"/>
        <w:jc w:val="left"/>
      </w:pPr>
      <w:r>
        <w:rPr>
          <w:rFonts w:hint="eastAsia"/>
        </w:rPr>
        <w:t>问：请介绍一下《意见》制定的主要考虑。</w:t>
      </w:r>
    </w:p>
    <w:p w:rsidR="00755A40" w:rsidRDefault="00755A40" w:rsidP="00755A40">
      <w:pPr>
        <w:ind w:firstLineChars="200" w:firstLine="420"/>
        <w:jc w:val="left"/>
      </w:pPr>
      <w:r>
        <w:rPr>
          <w:rFonts w:hint="eastAsia"/>
        </w:rPr>
        <w:t>答：《意见》坚持以习近平新时代中国特色社会主义思想为指导，深入贯彻习近平法治思想和习近平总书记关于网络强国的重要思想，深化信息网络犯罪治理工作，进一步规范信息网络犯罪案件的办理程序，为推进网络强国建设提供有力司法保障。具体而言，在起草过程中，着重把握了以下几点：</w:t>
      </w:r>
    </w:p>
    <w:p w:rsidR="00755A40" w:rsidRDefault="00755A40" w:rsidP="00755A40">
      <w:pPr>
        <w:ind w:firstLineChars="200" w:firstLine="420"/>
        <w:jc w:val="left"/>
      </w:pPr>
      <w:r>
        <w:rPr>
          <w:rFonts w:hint="eastAsia"/>
        </w:rPr>
        <w:t>一是贯彻新要求，深化犯罪治理。习近平总书记强调“网络犯罪已成为危害我国国家政治安全、网络安全、社会安全、经济安全等的重要风险之一”“没有网络安全就没有国家安全”。</w:t>
      </w:r>
      <w:r>
        <w:t>2020</w:t>
      </w:r>
      <w:r>
        <w:t>年</w:t>
      </w:r>
      <w:r>
        <w:t>12</w:t>
      </w:r>
      <w:r>
        <w:t>月，中共中央印发《法治社会建设实施纲要（</w:t>
      </w:r>
      <w:r>
        <w:t>2020</w:t>
      </w:r>
      <w:r>
        <w:t>－</w:t>
      </w:r>
      <w:r>
        <w:t>2025</w:t>
      </w:r>
      <w:r>
        <w:t>年）》，要求</w:t>
      </w:r>
      <w:r>
        <w:t>“</w:t>
      </w:r>
      <w:r>
        <w:t>推动社会治理从现实社会向网络空间覆盖，建立健全网络综合治理体系，加强依法管网、依法办网、依法上网，全面推进网络空间法治化，营造清朗的网络空间。</w:t>
      </w:r>
      <w:r>
        <w:t>”</w:t>
      </w:r>
      <w:r>
        <w:t>《意见》深入贯彻落实推进网络治理的新部署、新要求，进一步完善相关程序规则，依法惩治信息网络犯罪，为深化网络生态治理、推动</w:t>
      </w:r>
      <w:r>
        <w:rPr>
          <w:rFonts w:hint="eastAsia"/>
        </w:rPr>
        <w:t>网络文明建设提供有力司法保障。</w:t>
      </w:r>
    </w:p>
    <w:p w:rsidR="00755A40" w:rsidRDefault="00755A40" w:rsidP="00755A40">
      <w:pPr>
        <w:ind w:firstLineChars="200" w:firstLine="420"/>
        <w:jc w:val="left"/>
      </w:pPr>
      <w:r>
        <w:rPr>
          <w:rFonts w:hint="eastAsia"/>
        </w:rPr>
        <w:t>二是应对新形势，完善程序规则。当前，信息网络犯罪案件仍然持续高发，且犯罪的链条性、跨地域性、技术性等特点更加突显。《</w:t>
      </w:r>
      <w:r>
        <w:t>2014</w:t>
      </w:r>
      <w:r>
        <w:t>年意见》不能完全适应当前信息网络犯罪的新问题、新情况。鉴此，《意见》根据刑法、刑事诉讼法以及相关法律、司法解释的规定，结合实践反映的突出问题，对办理相关案件的程序规则作出进一步明确。</w:t>
      </w:r>
    </w:p>
    <w:p w:rsidR="00755A40" w:rsidRDefault="00755A40" w:rsidP="00755A40">
      <w:pPr>
        <w:ind w:firstLineChars="200" w:firstLine="420"/>
        <w:jc w:val="left"/>
      </w:pPr>
      <w:r>
        <w:rPr>
          <w:rFonts w:hint="eastAsia"/>
        </w:rPr>
        <w:t>三是吸收新经验，服务办案实践。规则来自实践，服务于实践。近年来，一线公检法机关根据实践情况，充分借助信息技术手段，在办理信息网络犯罪案件的过程中作了诸多有益探索，形成了一些有效的经验做法。《意见》吸收实践中较为成熟的经验做法，提炼为统一的司法规则，依法规范案件办理，有效服务一线实践。</w:t>
      </w:r>
    </w:p>
    <w:p w:rsidR="00755A40" w:rsidRDefault="00755A40" w:rsidP="00755A40">
      <w:pPr>
        <w:ind w:firstLineChars="200" w:firstLine="420"/>
        <w:jc w:val="left"/>
      </w:pPr>
      <w:r>
        <w:rPr>
          <w:rFonts w:hint="eastAsia"/>
        </w:rPr>
        <w:t>问：司法实践中，对信息网络犯罪案件，常常会出现管辖争议。请问《意见》对信息网络犯罪案件的管辖有何规范？</w:t>
      </w:r>
    </w:p>
    <w:p w:rsidR="00755A40" w:rsidRDefault="00755A40" w:rsidP="00755A40">
      <w:pPr>
        <w:ind w:firstLineChars="200" w:firstLine="420"/>
        <w:jc w:val="left"/>
      </w:pPr>
      <w:r>
        <w:rPr>
          <w:rFonts w:hint="eastAsia"/>
        </w:rPr>
        <w:t>答：信息网络犯罪具有匿名性、远程性、链条性、涉众性等特点，案件管辖问题较传统犯罪更为复杂。《意见》根据刑事诉讼法以及有关规定，立足当前信息网络犯罪的执法司法实践，进一步明确了管辖规则。</w:t>
      </w:r>
    </w:p>
    <w:p w:rsidR="00755A40" w:rsidRDefault="00755A40" w:rsidP="00755A40">
      <w:pPr>
        <w:ind w:firstLineChars="200" w:firstLine="420"/>
        <w:jc w:val="left"/>
      </w:pPr>
      <w:r>
        <w:rPr>
          <w:rFonts w:hint="eastAsia"/>
        </w:rPr>
        <w:t>一是对信息网络犯罪案件的犯罪地作了明确。针对信息网络犯罪往往是远程匿名实施的特点，为方便被害人报案，《意见》依法确定多个管辖连接点，规定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涉及多个环节的信息网络犯罪案件，犯罪嫌疑人为信息网络犯罪提供帮助的，其犯罪地、居住地或者被帮助对象的犯罪地公安机关可以立案侦查。</w:t>
      </w:r>
    </w:p>
    <w:p w:rsidR="00755A40" w:rsidRDefault="00755A40" w:rsidP="00755A40">
      <w:pPr>
        <w:ind w:firstLineChars="200" w:firstLine="420"/>
        <w:jc w:val="left"/>
      </w:pPr>
      <w:r>
        <w:rPr>
          <w:rFonts w:hint="eastAsia"/>
        </w:rPr>
        <w:t>二是对信息网络犯罪案件的并案规则作了明确。《意见》规定，具有下列情形之一的，公安机关、人民检察院、人民法院可以在其职责范围内并案处理：（</w:t>
      </w:r>
      <w:r>
        <w:t>1</w:t>
      </w:r>
      <w:r>
        <w:t>）一人犯数罪的；（</w:t>
      </w:r>
      <w:r>
        <w:t>2</w:t>
      </w:r>
      <w:r>
        <w:t>）共同犯罪的；（</w:t>
      </w:r>
      <w:r>
        <w:t>3</w:t>
      </w:r>
      <w:r>
        <w:t>）共同犯罪的犯罪嫌疑人、被告人还实施其他犯罪的；（</w:t>
      </w:r>
      <w:r>
        <w:t>4</w:t>
      </w:r>
      <w:r>
        <w:t>）多个犯罪嫌疑人、被告人实施的犯罪行为存在关联，并案处理有利于查明全部案件事实的。</w:t>
      </w:r>
    </w:p>
    <w:p w:rsidR="00755A40" w:rsidRDefault="00755A40" w:rsidP="00755A40">
      <w:pPr>
        <w:ind w:firstLineChars="200" w:firstLine="420"/>
        <w:jc w:val="left"/>
      </w:pPr>
      <w:r>
        <w:rPr>
          <w:rFonts w:hint="eastAsia"/>
        </w:rPr>
        <w:t>三是对信息网络犯罪案件的分案规则作了明确。《意见》规定，并案侦查的共同犯罪或者关联犯罪案件，犯罪嫌疑人人数众多、案情复杂的，公安机关可以分案移送审查起诉。分案移送审查起诉的，应当对并案侦查的依据、分案移送审查起诉的理由作出说明。对于相关案件未作分案处理的，人民检察院可以分案提起公诉，人民法院可以分案审理。公检法机关在分案前有管辖权的，分案后对相关案件的管辖权不受影响。上述分案处理，应当以有利于保障诉讼质量和效率为前提，并不得影响当事人质证权等诉讼权利的行使。</w:t>
      </w:r>
    </w:p>
    <w:p w:rsidR="00755A40" w:rsidRDefault="00755A40" w:rsidP="00755A40">
      <w:pPr>
        <w:ind w:firstLineChars="200" w:firstLine="420"/>
        <w:jc w:val="left"/>
      </w:pPr>
      <w:r>
        <w:rPr>
          <w:rFonts w:hint="eastAsia"/>
        </w:rPr>
        <w:t>问：信息网络犯罪往往跨地域实施，跨地域取证具有一定普遍性，而相关取证工作需要更多借助信息技术手段。请介绍一下《意见》对跨地域取证有何规定。</w:t>
      </w:r>
    </w:p>
    <w:p w:rsidR="00755A40" w:rsidRDefault="00755A40" w:rsidP="00755A40">
      <w:pPr>
        <w:ind w:firstLineChars="200" w:firstLine="420"/>
        <w:jc w:val="left"/>
      </w:pPr>
      <w:r>
        <w:rPr>
          <w:rFonts w:hint="eastAsia"/>
        </w:rPr>
        <w:t>答：信息网络犯罪相关银行账户、网络数据往往遍布各地，采用传统取证方式，耗时费力。为此，《意见》立足实践情况，对信息网络犯罪案件的取证问题作了规定。具体而言：</w:t>
      </w:r>
    </w:p>
    <w:p w:rsidR="00755A40" w:rsidRDefault="00755A40" w:rsidP="00755A40">
      <w:pPr>
        <w:ind w:firstLineChars="200" w:firstLine="420"/>
        <w:jc w:val="left"/>
      </w:pPr>
      <w:r>
        <w:rPr>
          <w:rFonts w:hint="eastAsia"/>
        </w:rPr>
        <w:t>一是明确跨地域调取电子数据的规则。办理信息网络犯罪案件，往往需要跨地域取证。针对异地调取电子数据成本高、安全性差的问题，公安部建成异地调证信息化系统，为兼顾异地调取电子数据的便利性和安全性创造了条件。基于此，《意见》明确跨地域调取电子数据的，可以通过公安机关信息化系统传输相关数据电文。同时，要求采用数据电文形式提供电子数据的，应当保证电子数据的完整性。</w:t>
      </w:r>
    </w:p>
    <w:p w:rsidR="00755A40" w:rsidRDefault="00755A40" w:rsidP="00755A40">
      <w:pPr>
        <w:ind w:firstLineChars="200" w:firstLine="420"/>
        <w:jc w:val="left"/>
      </w:pPr>
      <w:r>
        <w:rPr>
          <w:rFonts w:hint="eastAsia"/>
        </w:rPr>
        <w:t>二是明确异地询（讯）问的规则。《意见》规定，询（讯）问异地证人、被害人以及与案件有关联的犯罪嫌疑人的，可以由办案地公安机关通过远程网络视频等方式进行并制作笔录。远程询（讯）问的，应当由协作地公安机关事先核实被询（讯）问人的身份。询（讯）问笔录经被询（讯）问人确认并逐页签名、捺指印后，由协作地公安机关协作人员签名或者盖章，并将原件提供给办案地公安机关。远程询（讯）问的，应当对询（讯）问过程同步录音录像，并随案移送。</w:t>
      </w:r>
    </w:p>
    <w:p w:rsidR="00755A40" w:rsidRDefault="00755A40" w:rsidP="00755A40">
      <w:pPr>
        <w:ind w:firstLineChars="200" w:firstLine="420"/>
        <w:jc w:val="left"/>
      </w:pPr>
      <w:r>
        <w:rPr>
          <w:rFonts w:hint="eastAsia"/>
        </w:rPr>
        <w:t>问：针对信息网络犯罪案件海量证据的情况，《意见》新增按照一定比例或者数量取证的规定。请介绍一下相关规定和有关考虑。</w:t>
      </w:r>
    </w:p>
    <w:p w:rsidR="00755A40" w:rsidRDefault="00755A40" w:rsidP="00755A40">
      <w:pPr>
        <w:ind w:firstLineChars="200" w:firstLine="420"/>
        <w:jc w:val="left"/>
      </w:pPr>
      <w:r>
        <w:rPr>
          <w:rFonts w:hint="eastAsia"/>
        </w:rPr>
        <w:t>答：不少信息网络犯罪涉及海量证据材料，涉案人员也特别众多，无法逐一取证。例如，在非法控制计算机信息系统犯罪案件中，黑客通过网站“挂马”等方式可以在短时间内控制数百万台计算机，此种情形下，既无必要，客观上也不可能逐一核实每一台涉案计算机，从而认定被控制的计算机信息系统数量。基于此，《意见》对海量证据材料按照一定比例或者数量取证的规则作了专门规定。</w:t>
      </w:r>
    </w:p>
    <w:p w:rsidR="00755A40" w:rsidRDefault="00755A40" w:rsidP="00755A40">
      <w:pPr>
        <w:ind w:firstLineChars="200" w:firstLine="420"/>
        <w:jc w:val="left"/>
      </w:pPr>
      <w:r>
        <w:rPr>
          <w:rFonts w:hint="eastAsia"/>
        </w:rPr>
        <w:t>一是证据选取规则。办理信息网络犯罪案件，对于数量特别众多且具有同类性质、特征或者功能的物证、书证、证人证言、被害人陈述、视听资料、电子数据等证据材料，确因客观条件限制无法逐一收集的，应当按照一定比例或者数量选取证据，并对选取情况作出说明和论证。同时，为规范涉案财物处置，保护被害人利益，《意见》还规定，涉案财物需要返还被害人的，应当尽可能查明被害人损失情况。</w:t>
      </w:r>
    </w:p>
    <w:p w:rsidR="00755A40" w:rsidRDefault="00755A40" w:rsidP="00755A40">
      <w:pPr>
        <w:ind w:firstLineChars="200" w:firstLine="420"/>
        <w:jc w:val="left"/>
      </w:pPr>
      <w:r>
        <w:rPr>
          <w:rFonts w:hint="eastAsia"/>
        </w:rPr>
        <w:t>二是证据审查规则。人民检察院、人民法院应当重点审查取证方法、过程是否科学。经审查认为取证不科学的，应当由原取证机关作出补充说明或者重新取证。</w:t>
      </w:r>
    </w:p>
    <w:p w:rsidR="00755A40" w:rsidRDefault="00755A40" w:rsidP="00755A40">
      <w:pPr>
        <w:ind w:firstLineChars="200" w:firstLine="420"/>
        <w:jc w:val="left"/>
      </w:pPr>
      <w:r>
        <w:rPr>
          <w:rFonts w:hint="eastAsia"/>
        </w:rPr>
        <w:t>三是证据采信规则。人民检察院、人民法院应当结合其他证据材料，以及犯罪嫌疑人、被告人及其辩护人所提辩解、辩护意见，审查认定取得的证据。经审查，对相关事实不能排除合理怀疑的，应当作出有利于犯罪嫌疑人、被告人的认定。</w:t>
      </w:r>
    </w:p>
    <w:p w:rsidR="00755A40" w:rsidRDefault="00755A40" w:rsidP="00755A40">
      <w:pPr>
        <w:ind w:firstLineChars="200" w:firstLine="420"/>
        <w:jc w:val="left"/>
      </w:pPr>
      <w:r>
        <w:rPr>
          <w:rFonts w:hint="eastAsia"/>
        </w:rPr>
        <w:t>问：“徒法不足以自行。”《意见》发布后，“两高一部”对贯彻实施工作有何考虑？</w:t>
      </w:r>
    </w:p>
    <w:p w:rsidR="00755A40" w:rsidRDefault="00755A40" w:rsidP="00755A40">
      <w:pPr>
        <w:ind w:firstLineChars="200" w:firstLine="420"/>
        <w:jc w:val="left"/>
      </w:pPr>
      <w:r>
        <w:rPr>
          <w:rFonts w:hint="eastAsia"/>
        </w:rPr>
        <w:t>答：《意见》对于依法惩治信息网络犯罪，有效维护清朗网络空间，必将发挥重要作用。下一步，最高人民法院、最高人民检察院、公安部将指导地方各级人民法院、人民检察院、公安机关充分发挥职能作用，严格规范案件办理程序，依法惩治信息网络犯罪，不断加大对信息网络空间的刑事司法保护力度。</w:t>
      </w:r>
    </w:p>
    <w:p w:rsidR="00755A40" w:rsidRDefault="00755A40" w:rsidP="00755A40">
      <w:pPr>
        <w:ind w:firstLineChars="200" w:firstLine="420"/>
        <w:jc w:val="left"/>
      </w:pPr>
      <w:r>
        <w:rPr>
          <w:rFonts w:hint="eastAsia"/>
        </w:rPr>
        <w:t>一是严格依法办案。采取有力措施，指导地方办案机关严格执行刑法、刑事诉讼法和《意见》的有关规定，准确把握案件办理程序要求，切实加大惩治力度，依法办理电信网络诈骗、网络赌博、侵犯公民个人信息等相关案件，突出惩治重点，彰显严惩立场，回应社会关切。</w:t>
      </w:r>
    </w:p>
    <w:p w:rsidR="00755A40" w:rsidRDefault="00755A40" w:rsidP="00755A40">
      <w:pPr>
        <w:ind w:firstLineChars="200" w:firstLine="420"/>
        <w:jc w:val="left"/>
      </w:pPr>
      <w:r>
        <w:rPr>
          <w:rFonts w:hint="eastAsia"/>
        </w:rPr>
        <w:t>二是强化工作衔接。信息网络犯罪的手段翻新，要求刑事治理措施不断优化升级。就完善此类案件的办理程序而言，公安、检察、审判机关要在严格落实刑事诉讼法规定的前提下，畅通执法、司法衔接，强化工作合力，更好地适应依法惩治信息网络犯罪的实践需要，进一步规范案件管辖和证据收集、使用，确保案件办理取得良好效果。</w:t>
      </w:r>
    </w:p>
    <w:p w:rsidR="00755A40" w:rsidRDefault="00755A40" w:rsidP="00755A40">
      <w:pPr>
        <w:ind w:firstLineChars="200" w:firstLine="420"/>
        <w:jc w:val="left"/>
      </w:pPr>
      <w:r>
        <w:rPr>
          <w:rFonts w:hint="eastAsia"/>
        </w:rPr>
        <w:t>三是加强普法宣传。认真落实“谁执法谁普法”责任制，结合相关信息网络犯罪案件办理，引导广大群众自觉抵制信息网络犯罪，增强防范信息网络犯罪风险意识能力，共同维护清朗网络空间和自身合法权益。</w:t>
      </w:r>
    </w:p>
    <w:p w:rsidR="00755A40" w:rsidRPr="00084B96" w:rsidRDefault="00755A40" w:rsidP="00755A40">
      <w:pPr>
        <w:ind w:firstLineChars="200" w:firstLine="420"/>
        <w:jc w:val="right"/>
      </w:pPr>
      <w:r>
        <w:rPr>
          <w:rFonts w:hint="eastAsia"/>
        </w:rPr>
        <w:t>人民公安报</w:t>
      </w:r>
      <w:r>
        <w:rPr>
          <w:rFonts w:hint="eastAsia"/>
        </w:rPr>
        <w:t>2022-8-30</w:t>
      </w:r>
    </w:p>
    <w:p w:rsidR="00755A40" w:rsidRDefault="00755A40" w:rsidP="00A8763E">
      <w:pPr>
        <w:sectPr w:rsidR="00755A40" w:rsidSect="00A8763E">
          <w:type w:val="continuous"/>
          <w:pgSz w:w="11906" w:h="16838"/>
          <w:pgMar w:top="1644" w:right="1236" w:bottom="1418" w:left="1814" w:header="851" w:footer="907" w:gutter="0"/>
          <w:pgNumType w:start="1"/>
          <w:cols w:space="720"/>
          <w:docGrid w:type="lines" w:linePitch="341" w:charSpace="2373"/>
        </w:sectPr>
      </w:pPr>
    </w:p>
    <w:p w:rsidR="00A3604F" w:rsidRDefault="00A3604F"/>
    <w:sectPr w:rsidR="00A360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A40"/>
    <w:rsid w:val="00755A40"/>
    <w:rsid w:val="00A36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5A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5A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3669</Characters>
  <Application>Microsoft Office Word</Application>
  <DocSecurity>0</DocSecurity>
  <Lines>30</Lines>
  <Paragraphs>8</Paragraphs>
  <ScaleCrop>false</ScaleCrop>
  <Company>Microsoft</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2022-09-09T09:09:00Z</dcterms:created>
</cp:coreProperties>
</file>