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504" w:rsidRDefault="000C1504" w:rsidP="000C1504">
      <w:pPr>
        <w:pStyle w:val="1"/>
      </w:pPr>
      <w:bookmarkStart w:id="0" w:name="_Toc14829"/>
      <w:r>
        <w:rPr>
          <w:rFonts w:hint="eastAsia"/>
        </w:rPr>
        <w:t>积极践行绿色投资，支持国家“双碳”战略——私募基金践行社会责任（支持国家“双碳”战略专题）案例连载</w:t>
      </w:r>
      <w:bookmarkEnd w:id="0"/>
    </w:p>
    <w:p w:rsidR="000C1504" w:rsidRDefault="000C1504" w:rsidP="000C1504">
      <w:r>
        <w:rPr>
          <w:rFonts w:hint="eastAsia"/>
        </w:rPr>
        <w:t xml:space="preserve">　　编者按：中国证券投资基金业协会(以下简称协会)高度重视私募基金践行社会责任的研究和宣传推广工作，其中包括私募基金支持科技创新与产业转型升级、服务国家经济社会战略、开展公益慈善事业等方面相关实践案例的征集编撰工作，得到了行业机构的积极响应。协会在综合考虑案例机构合规性、主题契合度、编撰质量、成果价值等因素基础上，从所征集案例中精选出“支持国家‘双碳’战略”等六个专题的若干案例，刊载发布。本期刊载私募基金支持国家“双碳”战略案例连载第一篇——绿动资本引领绿色投资构建绿色影响力生态体系。</w:t>
      </w:r>
    </w:p>
    <w:p w:rsidR="000C1504" w:rsidRDefault="000C1504" w:rsidP="000C1504">
      <w:r>
        <w:rPr>
          <w:rFonts w:hint="eastAsia"/>
        </w:rPr>
        <w:t xml:space="preserve">　　需要特别说明的是：本期发布的案例，由行业机构自行申报并承诺申报内容的真实性和准确性，协会未对案例内容信息的真实性和准确性进行核实验证；希望社会各界予以监督，如发现相关案例在事实客观性方面有重大瑕疵，协会保留采取相应处理措施的权利。</w:t>
      </w:r>
    </w:p>
    <w:p w:rsidR="000C1504" w:rsidRDefault="000C1504" w:rsidP="000C1504">
      <w:r>
        <w:rPr>
          <w:rFonts w:hint="eastAsia"/>
        </w:rPr>
        <w:t xml:space="preserve">　　本期案例的发布，并不构成对相关私募投资基金管理人投资管理能力、持续合规诚信情况和投资业绩的认定，不作为私募投资基金投资资金安全的保证，也不构成对投资标的企业经营业绩和管理水平的证明。本期案例主要内容如下：</w:t>
      </w:r>
    </w:p>
    <w:p w:rsidR="000C1504" w:rsidRDefault="000C1504" w:rsidP="000C1504">
      <w:r>
        <w:rPr>
          <w:rFonts w:hint="eastAsia"/>
        </w:rPr>
        <w:t xml:space="preserve">　　绿动资本引领绿色投资推动构建绿色影响力生态体系【案例背景】近年来，在国家生态文明建设战略部署的引领下，在有关部门大力倡导发展绿色金融政策的支持下，金融行业在服务绿色、低碳发展中扮演着日益重要的角色。进一步发挥好私募股权基金在中国经济转型升级中的作用，开展科学的绿色投资项目筛选与评价，探索出适合中国国情的“绿色”投资理念和投资方式，并通过绿色投资引导更多被投企业走上绿色、可持续发展之路，推动绿色金融体系的构建，提升总体经济、环境和社会价值，是私募基金行业义不容辞的使命与责任。【责任实践】</w:t>
      </w:r>
    </w:p>
    <w:p w:rsidR="000C1504" w:rsidRDefault="000C1504" w:rsidP="000C1504">
      <w:r>
        <w:rPr>
          <w:rFonts w:hint="eastAsia"/>
        </w:rPr>
        <w:t xml:space="preserve">　　绿动资本[1]自创立以来，秉持造福社会的企业家精神，始终致力于通过资本赋能和技术创新的结合，为企业发展注入绿色新动能，并与企业家们携手促进产业升级和低碳减排。</w:t>
      </w:r>
    </w:p>
    <w:p w:rsidR="000C1504" w:rsidRDefault="000C1504" w:rsidP="000C1504">
      <w:r>
        <w:rPr>
          <w:rFonts w:hint="eastAsia"/>
        </w:rPr>
        <w:t xml:space="preserve">　　通过五年的不懈努力，绿动资本构建了一套较为完善的绿色影响力评估体系，对管理人自身及其在管资产的碳排放量进行跟踪与评估。绿动资本重点在以下三方面持续深耕：</w:t>
      </w:r>
    </w:p>
    <w:p w:rsidR="000C1504" w:rsidRDefault="000C1504" w:rsidP="000C1504">
      <w:r>
        <w:rPr>
          <w:rFonts w:hint="eastAsia"/>
        </w:rPr>
        <w:t xml:space="preserve">　　1.研究创立绿色影响力评估体系</w:t>
      </w:r>
    </w:p>
    <w:p w:rsidR="000C1504" w:rsidRDefault="000C1504" w:rsidP="000C1504">
      <w:r>
        <w:rPr>
          <w:rFonts w:hint="eastAsia"/>
        </w:rPr>
        <w:t xml:space="preserve">　　绿动资本为给项目提供技术评估支持，专门成立了绿色技术研究院，自主研发了绿色影响力评估体系(英文简称CNGIAS)，并得到国际权威机构认证。该评估通过对被投企业和行业进行大数据采集、对被投企业碳中和及绿色影响力模型搭建、将基金层级碳中和及绿色影响力数据标准化，准确地量化每一个被投企业及在管基金整体对碳中和及绿色影响力的贡献；同时，该评估还着重关注资本在推动碳中和及其它正面环境影响的效率，即以单位投资强度撬动的碳减排及单位投资所节约的碳减排及环境综合治理成本，实时地监控资本对绿色影响力的放大效果。</w:t>
      </w:r>
    </w:p>
    <w:p w:rsidR="000C1504" w:rsidRDefault="000C1504" w:rsidP="000C1504">
      <w:r>
        <w:rPr>
          <w:rFonts w:hint="eastAsia"/>
        </w:rPr>
        <w:t xml:space="preserve">　　2.将绿色影响力评估融入募投管退全流程</w:t>
      </w:r>
    </w:p>
    <w:p w:rsidR="000C1504" w:rsidRDefault="000C1504" w:rsidP="000C1504">
      <w:r>
        <w:rPr>
          <w:rFonts w:hint="eastAsia"/>
        </w:rPr>
        <w:t xml:space="preserve">　　在投前评估方面，绿动资本将绿色影响评估视为投资尽职调查的一部分，首先考虑目标公司创始人或首席执行官在绿色影响力方面的愿望，确保双方愿景一致。投前阶段，绿色技术研究院协助投资团队针对拟投项目的技术能力、市场前景、商业化运作水平等方面提供技术评估支持，同时通过模型测算，量化每个投资组合公司以及基金层面的绿色影响。</w:t>
      </w:r>
    </w:p>
    <w:p w:rsidR="000C1504" w:rsidRDefault="000C1504" w:rsidP="000C1504">
      <w:r>
        <w:rPr>
          <w:rFonts w:hint="eastAsia"/>
        </w:rPr>
        <w:t xml:space="preserve">　　在投资决策环节，绿色影响力是除经济收益指标外最重要的一个评估因素。每个投资项目均需要在投资决策报告中，详细描述拟投资标的环境影响传导机制及投资时点的环境</w:t>
      </w:r>
      <w:r>
        <w:rPr>
          <w:rFonts w:hint="eastAsia"/>
        </w:rPr>
        <w:lastRenderedPageBreak/>
        <w:t>影响情况。对于没有正面环境影响效果的投资标的，无论项目预期收益如何，投委会均不会通过投资审批。</w:t>
      </w:r>
    </w:p>
    <w:p w:rsidR="000C1504" w:rsidRDefault="000C1504" w:rsidP="000C1504">
      <w:r>
        <w:rPr>
          <w:rFonts w:hint="eastAsia"/>
        </w:rPr>
        <w:t xml:space="preserve">　　在投后管理方面，绿动资本整合国内外先进的绿色技术和产品，为被投企业设计绿色化、智能化的两大整体应用解决方案：一是充分利用绿色技术研究院拥有的专家库与先进技术、产品资源，向被投企业提供节能技术整合方案以及智能管理优化服务。二是在投后继续通过建立评估管道并追踪关键运营绩效指标，为被投企业提供绿色影响力量化评估服务，以及联合多家权威机构为被投企业提供第三方认证的、可量化的碳中和及环境贡献评估服务。</w:t>
      </w:r>
    </w:p>
    <w:p w:rsidR="000C1504" w:rsidRDefault="000C1504" w:rsidP="000C1504">
      <w:r>
        <w:rPr>
          <w:rFonts w:hint="eastAsia"/>
        </w:rPr>
        <w:t xml:space="preserve">　　3.搭建绿色影响力投资生态圈</w:t>
      </w:r>
    </w:p>
    <w:p w:rsidR="000C1504" w:rsidRDefault="000C1504" w:rsidP="000C1504">
      <w:r>
        <w:rPr>
          <w:rFonts w:hint="eastAsia"/>
        </w:rPr>
        <w:t xml:space="preserve">　　绿动资本深刻认识到将环境效益的考量纳入募投管退全流程是开展绿色影响力投资的关键。投资机构需通过投前与投资方达成共同愿景、对绿色影响力开展量化评估、与第三方权威机构合作保障数据权威性等方式，将绿色影响力刻入被投企业的DNA。绿动资本从被投企业入手，联合国际权委评估及审计机构、第三方环境大数据公司，将被投企业的绿色影响力跟踪量化，展示给投资人和社会公众，搭建了一个特有的绿色影响力生态圈。</w:t>
      </w:r>
    </w:p>
    <w:p w:rsidR="000C1504" w:rsidRDefault="000C1504" w:rsidP="000C1504">
      <w:r>
        <w:rPr>
          <w:rFonts w:hint="eastAsia"/>
        </w:rPr>
        <w:t xml:space="preserve">　　绿动资本在募集每一只基金时，都明确地向出资人(LP)申明所募集的私募股权基金将追求财务回报和绿色影响力双目标，向出资人披露绿色影响力的量化评估体系，定期向出资人量化、汇报在管资产的绿色影响力及未来绿色发展战略，同时积极的连接出资人和被投企业，通过产业链、市场、研发等各方面实现协同，促进绿色发展。</w:t>
      </w:r>
    </w:p>
    <w:p w:rsidR="000C1504" w:rsidRDefault="000C1504" w:rsidP="000C1504">
      <w:r>
        <w:rPr>
          <w:rFonts w:hint="eastAsia"/>
        </w:rPr>
        <w:t xml:space="preserve">　　绿动资本通过定期与公众沟通在管资产的“碳中和”贡献，践行作为负责任投资机构对社会的绿色承诺，同时通过分享绿色投资理念、技术革新、帮助被投企业实施全生命周期的绿色项目管理等，增进公众对碳中和及绿色发展的关注，引导绿色消费行为。【取得效益】</w:t>
      </w:r>
    </w:p>
    <w:p w:rsidR="000C1504" w:rsidRDefault="000C1504" w:rsidP="000C1504">
      <w:r>
        <w:rPr>
          <w:rFonts w:hint="eastAsia"/>
        </w:rPr>
        <w:t xml:space="preserve">　　2021年4月，绿动资本正式发布了《绿动资本2020年碳中和及绿色影响力报告》，成为亚洲首家公布其被投企业和基金整体碳中和绿色影响力的私募股权投资机构，为私募股权基金行业践行绿色投资迈出了里程碑的一步。</w:t>
      </w:r>
    </w:p>
    <w:p w:rsidR="000C1504" w:rsidRDefault="000C1504" w:rsidP="000C1504">
      <w:r>
        <w:rPr>
          <w:rFonts w:hint="eastAsia"/>
        </w:rPr>
        <w:t xml:space="preserve">　　报告显示，2020年度绿动资本在管资产实现碳减排263.9万吨二氧化碳当量，并且实现除二氧化碳的大气污染、水污染、危废等减排总量合计近170万吨。通过资本的带动作用，绿动资本每亿元民币投资撬动碳减排17.3万吨，每元投资在2020年助力社会碳减排和环境综合治理成本下降约0.36元，实现了投资的正向环境回报。</w:t>
      </w:r>
    </w:p>
    <w:p w:rsidR="000C1504" w:rsidRDefault="000C1504" w:rsidP="000C1504">
      <w:pPr>
        <w:ind w:firstLine="423"/>
      </w:pPr>
      <w:r>
        <w:rPr>
          <w:rFonts w:hint="eastAsia"/>
        </w:rPr>
        <w:t>注：[1]绿动投资管理有限公司(简称绿动资本)成立于2016年，在中国率先将ESG政策制度化，并且对投资行为进行绿色影响力量化评估。</w:t>
      </w:r>
    </w:p>
    <w:p w:rsidR="00234127" w:rsidRDefault="000C1504" w:rsidP="000C1504">
      <w:pPr>
        <w:ind w:firstLine="423"/>
        <w:jc w:val="right"/>
      </w:pPr>
      <w:r>
        <w:rPr>
          <w:rFonts w:hint="eastAsia"/>
        </w:rPr>
        <w:t>中国基金业协会2022-03-08</w:t>
      </w:r>
    </w:p>
    <w:sectPr w:rsidR="002341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4127" w:rsidRDefault="00234127" w:rsidP="000C1504">
      <w:r>
        <w:separator/>
      </w:r>
    </w:p>
  </w:endnote>
  <w:endnote w:type="continuationSeparator" w:id="1">
    <w:p w:rsidR="00234127" w:rsidRDefault="00234127" w:rsidP="000C15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4127" w:rsidRDefault="00234127" w:rsidP="000C1504">
      <w:r>
        <w:separator/>
      </w:r>
    </w:p>
  </w:footnote>
  <w:footnote w:type="continuationSeparator" w:id="1">
    <w:p w:rsidR="00234127" w:rsidRDefault="00234127" w:rsidP="000C15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1504"/>
    <w:rsid w:val="000C1504"/>
    <w:rsid w:val="002341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504"/>
    <w:pPr>
      <w:widowControl w:val="0"/>
      <w:jc w:val="both"/>
    </w:pPr>
    <w:rPr>
      <w:rFonts w:ascii="宋体" w:eastAsia="宋体" w:hAnsi="宋体" w:cs="Times New Roman"/>
      <w:b/>
      <w:bCs/>
      <w:kern w:val="36"/>
      <w:szCs w:val="52"/>
    </w:rPr>
  </w:style>
  <w:style w:type="paragraph" w:styleId="1">
    <w:name w:val="heading 1"/>
    <w:basedOn w:val="a"/>
    <w:next w:val="a"/>
    <w:link w:val="1Char"/>
    <w:qFormat/>
    <w:rsid w:val="000C1504"/>
    <w:pPr>
      <w:widowControl/>
      <w:spacing w:before="100" w:beforeAutospacing="1" w:after="100" w:afterAutospacing="1"/>
      <w:ind w:firstLineChars="200" w:firstLine="643"/>
      <w:jc w:val="center"/>
      <w:outlineLvl w:val="0"/>
    </w:pPr>
    <w:rPr>
      <w:rFonts w:ascii="黑体" w:eastAsia="黑体"/>
      <w:bCs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C1504"/>
    <w:pPr>
      <w:pBdr>
        <w:bottom w:val="single" w:sz="6" w:space="1" w:color="auto"/>
      </w:pBdr>
      <w:tabs>
        <w:tab w:val="center" w:pos="4153"/>
        <w:tab w:val="right" w:pos="8306"/>
      </w:tabs>
      <w:snapToGrid w:val="0"/>
      <w:jc w:val="center"/>
    </w:pPr>
    <w:rPr>
      <w:rFonts w:asciiTheme="minorHAnsi" w:eastAsiaTheme="minorEastAsia" w:hAnsiTheme="minorHAnsi" w:cstheme="minorBidi"/>
      <w:b w:val="0"/>
      <w:bCs w:val="0"/>
      <w:kern w:val="2"/>
      <w:sz w:val="18"/>
      <w:szCs w:val="18"/>
    </w:rPr>
  </w:style>
  <w:style w:type="character" w:customStyle="1" w:styleId="Char">
    <w:name w:val="页眉 Char"/>
    <w:basedOn w:val="a0"/>
    <w:link w:val="a3"/>
    <w:uiPriority w:val="99"/>
    <w:semiHidden/>
    <w:rsid w:val="000C1504"/>
    <w:rPr>
      <w:sz w:val="18"/>
      <w:szCs w:val="18"/>
    </w:rPr>
  </w:style>
  <w:style w:type="paragraph" w:styleId="a4">
    <w:name w:val="footer"/>
    <w:basedOn w:val="a"/>
    <w:link w:val="Char0"/>
    <w:uiPriority w:val="99"/>
    <w:semiHidden/>
    <w:unhideWhenUsed/>
    <w:rsid w:val="000C1504"/>
    <w:pPr>
      <w:tabs>
        <w:tab w:val="center" w:pos="4153"/>
        <w:tab w:val="right" w:pos="8306"/>
      </w:tabs>
      <w:snapToGrid w:val="0"/>
      <w:jc w:val="left"/>
    </w:pPr>
    <w:rPr>
      <w:rFonts w:asciiTheme="minorHAnsi" w:eastAsiaTheme="minorEastAsia" w:hAnsiTheme="minorHAnsi" w:cstheme="minorBidi"/>
      <w:b w:val="0"/>
      <w:bCs w:val="0"/>
      <w:kern w:val="2"/>
      <w:sz w:val="18"/>
      <w:szCs w:val="18"/>
    </w:rPr>
  </w:style>
  <w:style w:type="character" w:customStyle="1" w:styleId="Char0">
    <w:name w:val="页脚 Char"/>
    <w:basedOn w:val="a0"/>
    <w:link w:val="a4"/>
    <w:uiPriority w:val="99"/>
    <w:semiHidden/>
    <w:rsid w:val="000C1504"/>
    <w:rPr>
      <w:sz w:val="18"/>
      <w:szCs w:val="18"/>
    </w:rPr>
  </w:style>
  <w:style w:type="character" w:customStyle="1" w:styleId="1Char">
    <w:name w:val="标题 1 Char"/>
    <w:basedOn w:val="a0"/>
    <w:link w:val="1"/>
    <w:qFormat/>
    <w:rsid w:val="000C150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2157</Characters>
  <Application>Microsoft Office Word</Application>
  <DocSecurity>0</DocSecurity>
  <Lines>17</Lines>
  <Paragraphs>5</Paragraphs>
  <ScaleCrop>false</ScaleCrop>
  <Company>微软中国</Company>
  <LinksUpToDate>false</LinksUpToDate>
  <CharactersWithSpaces>2530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2022-04-25T02:17:00Z</dcterms:created>
  <dcterms:modified xsi:type="dcterms:W3CDTF">2022-04-25T02:17:00Z</dcterms:modified>
</cp:coreProperties>
</file>