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2D7" w:rsidRDefault="004132D7" w:rsidP="00A973AC">
      <w:pPr>
        <w:pStyle w:val="1"/>
        <w:rPr>
          <w:rFonts w:hint="eastAsia"/>
        </w:rPr>
      </w:pPr>
      <w:r w:rsidRPr="00A973AC">
        <w:rPr>
          <w:rFonts w:hint="eastAsia"/>
        </w:rPr>
        <w:t>长春市双阳区“六个坚持”开创农业农村发展新局面</w:t>
      </w:r>
    </w:p>
    <w:p w:rsidR="004132D7" w:rsidRDefault="004132D7" w:rsidP="004132D7">
      <w:pPr>
        <w:ind w:firstLineChars="200" w:firstLine="420"/>
        <w:jc w:val="left"/>
      </w:pPr>
      <w:r>
        <w:rPr>
          <w:rFonts w:hint="eastAsia"/>
        </w:rPr>
        <w:t>近年来，长春市双阳区始终把解决好“三农”问题作为全区工作的重中之重，全力支持农业生产、改善农民生活、改变农村面貌，开创了农业农村发展新局面。</w:t>
      </w:r>
    </w:p>
    <w:p w:rsidR="004132D7" w:rsidRDefault="004132D7" w:rsidP="004132D7">
      <w:pPr>
        <w:ind w:firstLineChars="200" w:firstLine="420"/>
        <w:jc w:val="left"/>
      </w:pPr>
      <w:r>
        <w:rPr>
          <w:rFonts w:hint="eastAsia"/>
        </w:rPr>
        <w:t>坚持质量兴农，加强农业结构新调整。深化农业供给侧结构性改革，围绕“南果北菜东稻西鹿”产业布局基础，大力培育具有双阳特色的农业产业体系，积极打造长春都市有机果蔬生产基地。</w:t>
      </w:r>
      <w:r>
        <w:t>2020</w:t>
      </w:r>
      <w:r>
        <w:t>年全区农作物播种面积</w:t>
      </w:r>
      <w:r>
        <w:t>139</w:t>
      </w:r>
      <w:r>
        <w:t>万亩，其中：玉米</w:t>
      </w:r>
      <w:r>
        <w:t>105</w:t>
      </w:r>
      <w:r>
        <w:t>万亩、水稻</w:t>
      </w:r>
      <w:r>
        <w:t>20</w:t>
      </w:r>
      <w:r>
        <w:t>万亩，其他作物种植面积</w:t>
      </w:r>
      <w:r>
        <w:t>14</w:t>
      </w:r>
      <w:r>
        <w:t>万亩。根据田间调查，全区平均出苗率达</w:t>
      </w:r>
      <w:r>
        <w:t>96.5%</w:t>
      </w:r>
      <w:r>
        <w:t>，一类苗占比近</w:t>
      </w:r>
      <w:r>
        <w:t>90%</w:t>
      </w:r>
      <w:r>
        <w:t>。</w:t>
      </w:r>
    </w:p>
    <w:p w:rsidR="004132D7" w:rsidRDefault="004132D7" w:rsidP="004132D7">
      <w:pPr>
        <w:ind w:firstLineChars="200" w:firstLine="420"/>
        <w:jc w:val="left"/>
      </w:pPr>
      <w:r>
        <w:rPr>
          <w:rFonts w:hint="eastAsia"/>
        </w:rPr>
        <w:t>坚持园区兴农，推进乡村产业新升级。积极推进鹿业和奢岭设施园艺两个省级现代农业产业园建设，强化农业园区与特色小镇、产业集群联动发展。奢岭镇成功获批第三批全国农业产业强镇项目</w:t>
      </w:r>
      <w:r>
        <w:t>,</w:t>
      </w:r>
      <w:r>
        <w:t>奢岭草莓小镇正在完善基础设施建设。创建中国特色农产品优势区，申报梅花鹿特色产业集群项目，引领梅花鹿优势特色产业做大做强、做优做精。</w:t>
      </w:r>
    </w:p>
    <w:p w:rsidR="004132D7" w:rsidRDefault="004132D7" w:rsidP="004132D7">
      <w:pPr>
        <w:ind w:firstLineChars="200" w:firstLine="420"/>
        <w:jc w:val="left"/>
      </w:pPr>
      <w:r>
        <w:rPr>
          <w:rFonts w:hint="eastAsia"/>
        </w:rPr>
        <w:t>坚持项目兴农，助推乡村振兴新成果。扎实推进高标准农田项目，</w:t>
      </w:r>
      <w:r>
        <w:t>25</w:t>
      </w:r>
      <w:r>
        <w:t>个施工标段均已开工建设，</w:t>
      </w:r>
      <w:r>
        <w:t>2020</w:t>
      </w:r>
      <w:r>
        <w:t>年预计完成</w:t>
      </w:r>
      <w:r>
        <w:t>7</w:t>
      </w:r>
      <w:r>
        <w:t>万亩高标准农田建设。上半年双阳区纳入项目库项目</w:t>
      </w:r>
      <w:r>
        <w:t>21</w:t>
      </w:r>
      <w:r>
        <w:t>个，其中有</w:t>
      </w:r>
      <w:r>
        <w:t>6</w:t>
      </w:r>
      <w:r>
        <w:t>个扶贫产业项目已落地，扶贫资金</w:t>
      </w:r>
      <w:r>
        <w:t>310</w:t>
      </w:r>
      <w:r>
        <w:t>万元，覆盖</w:t>
      </w:r>
      <w:r>
        <w:t>14</w:t>
      </w:r>
      <w:r>
        <w:t>个村，</w:t>
      </w:r>
      <w:r>
        <w:t>315</w:t>
      </w:r>
      <w:r>
        <w:t>户贫困户。开展产业指导员培训，共计培训</w:t>
      </w:r>
      <w:r>
        <w:t>188</w:t>
      </w:r>
      <w:r>
        <w:t>人。</w:t>
      </w:r>
    </w:p>
    <w:p w:rsidR="004132D7" w:rsidRDefault="004132D7" w:rsidP="004132D7">
      <w:pPr>
        <w:ind w:firstLineChars="200" w:firstLine="420"/>
        <w:jc w:val="left"/>
      </w:pPr>
      <w:r>
        <w:rPr>
          <w:rFonts w:hint="eastAsia"/>
        </w:rPr>
        <w:t>坚持生态兴农，建设美丽乡村新面貌。双阳区共计投入债券资金</w:t>
      </w:r>
      <w:r>
        <w:t>2</w:t>
      </w:r>
      <w:r>
        <w:t>亿元，开展人居环境整治工作，重点对打造的</w:t>
      </w:r>
      <w:r>
        <w:t>77</w:t>
      </w:r>
      <w:r>
        <w:t>个引领村和示范村进行高标准绿化。全面打响了村庄清洁行动春季战役，全面开展</w:t>
      </w:r>
      <w:r>
        <w:t>“</w:t>
      </w:r>
      <w:r>
        <w:t>七清七拆</w:t>
      </w:r>
      <w:r>
        <w:t>”</w:t>
      </w:r>
      <w:r>
        <w:t>工作，各项整治工作取得突破性进展。</w:t>
      </w:r>
    </w:p>
    <w:p w:rsidR="004132D7" w:rsidRDefault="004132D7" w:rsidP="004132D7">
      <w:pPr>
        <w:ind w:firstLineChars="200" w:firstLine="420"/>
        <w:jc w:val="left"/>
      </w:pPr>
      <w:r>
        <w:rPr>
          <w:rFonts w:hint="eastAsia"/>
        </w:rPr>
        <w:t>坚持改革兴农，激发农村发展新活力。深化农村土地制度改革，农村土地确权成果数据已通过农业农村部初检验收。预计到</w:t>
      </w:r>
      <w:r>
        <w:t>6</w:t>
      </w:r>
      <w:r>
        <w:t>月末，全区完成土地确权工作审计问题整改工作。扎实推进股权设置、股份量化等工作，已将股权证按户发放。研究制定农民合作社高质量规范化创建工作方案，目前，全区完成登记建档率</w:t>
      </w:r>
      <w:r>
        <w:t>60%</w:t>
      </w:r>
      <w:r>
        <w:t>。</w:t>
      </w:r>
    </w:p>
    <w:p w:rsidR="004132D7" w:rsidRDefault="004132D7" w:rsidP="004132D7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坚持自治兴农，促进乡村发展新文明。制定《乡村治理工作方案》，加强乡镇调解仲裁队伍建设，以“</w:t>
      </w:r>
      <w:r>
        <w:t>1+3+X”</w:t>
      </w:r>
      <w:r>
        <w:t>基层治理模式为基础，建立健全自治法治德治相结合的乡村治理体系，形成</w:t>
      </w:r>
      <w:r>
        <w:t>“</w:t>
      </w:r>
      <w:r>
        <w:t>小事不出屯、大事不出村、基层调解为主、仲裁裁决为辅</w:t>
      </w:r>
      <w:r>
        <w:t>”</w:t>
      </w:r>
      <w:r>
        <w:t>的纠纷解决新模式。</w:t>
      </w:r>
    </w:p>
    <w:p w:rsidR="004132D7" w:rsidRDefault="004132D7" w:rsidP="004132D7">
      <w:pPr>
        <w:ind w:firstLineChars="200" w:firstLine="420"/>
        <w:jc w:val="right"/>
        <w:rPr>
          <w:rFonts w:hint="eastAsia"/>
        </w:rPr>
      </w:pPr>
      <w:r w:rsidRPr="00A973AC">
        <w:rPr>
          <w:rFonts w:hint="eastAsia"/>
        </w:rPr>
        <w:t>长春市双阳区政府</w:t>
      </w:r>
      <w:r>
        <w:rPr>
          <w:rFonts w:hint="eastAsia"/>
        </w:rPr>
        <w:t>2020-6-22</w:t>
      </w:r>
    </w:p>
    <w:p w:rsidR="004132D7" w:rsidRDefault="004132D7" w:rsidP="00BF1CA3">
      <w:pPr>
        <w:sectPr w:rsidR="004132D7" w:rsidSect="00BF1C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3553" w:rsidRDefault="00E63553"/>
    <w:sectPr w:rsidR="00E635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32D7"/>
    <w:rsid w:val="004132D7"/>
    <w:rsid w:val="00E635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132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132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>Microsoft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2022-07-11T08:43:00Z</dcterms:created>
</cp:coreProperties>
</file>