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2AD1" w:rsidRDefault="004E2AD1" w:rsidP="004838A6">
      <w:pPr>
        <w:pStyle w:val="1"/>
      </w:pPr>
      <w:bookmarkStart w:id="0" w:name="_Toc113977682"/>
      <w:r w:rsidRPr="004838A6">
        <w:rPr>
          <w:rFonts w:hint="eastAsia"/>
        </w:rPr>
        <w:t>京津冀城市群数字经济发展优势明显</w:t>
      </w:r>
      <w:bookmarkEnd w:id="0"/>
    </w:p>
    <w:p w:rsidR="004E2AD1" w:rsidRDefault="004E2AD1" w:rsidP="004E2AD1">
      <w:pPr>
        <w:ind w:firstLineChars="200" w:firstLine="420"/>
      </w:pPr>
      <w:r>
        <w:rPr>
          <w:rFonts w:hint="eastAsia"/>
        </w:rPr>
        <w:t>数字时代背景下，京津冀城市群如何有效利用数字经济赋能区域协同发展，进而推动京津冀协同发展向更高水平迈进？蓝皮书系统梳理相关研究，从理论层面探究数字经济如何推动区域协同发展，围绕具体问题有针对性地给出了相应解决路径。近日，第六届世界智能大会在天津开幕，图为参会嘉宾参观天津制造业立市展。新华社记者</w:t>
      </w:r>
      <w:r>
        <w:t xml:space="preserve"> </w:t>
      </w:r>
      <w:r>
        <w:t>赵子硕摄</w:t>
      </w:r>
    </w:p>
    <w:p w:rsidR="004E2AD1" w:rsidRDefault="004E2AD1" w:rsidP="004E2AD1">
      <w:pPr>
        <w:ind w:firstLineChars="200" w:firstLine="420"/>
      </w:pPr>
      <w:r>
        <w:rPr>
          <w:rFonts w:hint="eastAsia"/>
        </w:rPr>
        <w:t>京津冀互联网平台经济空间发展均衡度明显提升</w:t>
      </w:r>
    </w:p>
    <w:p w:rsidR="004E2AD1" w:rsidRDefault="004E2AD1" w:rsidP="004E2AD1">
      <w:pPr>
        <w:ind w:firstLineChars="200" w:firstLine="420"/>
      </w:pPr>
      <w:r>
        <w:rPr>
          <w:rFonts w:hint="eastAsia"/>
        </w:rPr>
        <w:t>蓝皮书指出，京津冀的互联网平台经济空间发展均衡度明显提升，河北在规模及增速方面取得显著成效。</w:t>
      </w:r>
    </w:p>
    <w:p w:rsidR="004E2AD1" w:rsidRDefault="004E2AD1" w:rsidP="004E2AD1">
      <w:pPr>
        <w:ind w:firstLineChars="200" w:firstLine="420"/>
      </w:pPr>
      <w:r>
        <w:t>2010</w:t>
      </w:r>
      <w:r>
        <w:t>年至</w:t>
      </w:r>
      <w:r>
        <w:t>2020</w:t>
      </w:r>
      <w:r>
        <w:t>年，河北的互联网平台型企业累计注册资本由</w:t>
      </w:r>
      <w:r>
        <w:t>4.64</w:t>
      </w:r>
      <w:r>
        <w:t>亿元增加至</w:t>
      </w:r>
      <w:r>
        <w:t>144.25</w:t>
      </w:r>
      <w:r>
        <w:t>亿元，占京津冀城市群的比重由</w:t>
      </w:r>
      <w:r>
        <w:t>9.29%</w:t>
      </w:r>
      <w:r>
        <w:t>上升至</w:t>
      </w:r>
      <w:r>
        <w:t>42.36%</w:t>
      </w:r>
      <w:r>
        <w:t>，提升了</w:t>
      </w:r>
      <w:r>
        <w:t>33.07</w:t>
      </w:r>
      <w:r>
        <w:t>个百分点。其中，石家庄的互联网平台经济发展势头较好，其互联网平台型企业累计注册资本由</w:t>
      </w:r>
      <w:r>
        <w:t>0.3</w:t>
      </w:r>
      <w:r>
        <w:t>亿元增加至</w:t>
      </w:r>
      <w:r>
        <w:t>64.38</w:t>
      </w:r>
      <w:r>
        <w:t>亿元，占城市群的比重由</w:t>
      </w:r>
      <w:r>
        <w:t>0.60%</w:t>
      </w:r>
      <w:r>
        <w:t>上升至</w:t>
      </w:r>
      <w:r>
        <w:t>18.91%</w:t>
      </w:r>
      <w:r>
        <w:t>，提升了</w:t>
      </w:r>
      <w:r>
        <w:t>18.31</w:t>
      </w:r>
      <w:r>
        <w:t>个百分点。环京的保定和廊坊的互联网平台经济发展趋势也较好。</w:t>
      </w:r>
    </w:p>
    <w:p w:rsidR="004E2AD1" w:rsidRDefault="004E2AD1" w:rsidP="004E2AD1">
      <w:pPr>
        <w:ind w:firstLineChars="200" w:firstLine="420"/>
      </w:pPr>
      <w:r>
        <w:rPr>
          <w:rFonts w:hint="eastAsia"/>
        </w:rPr>
        <w:t>在数字经济产业中，数字要素驱动产业与居民消费的联系最为密切。</w:t>
      </w:r>
    </w:p>
    <w:p w:rsidR="004E2AD1" w:rsidRDefault="004E2AD1" w:rsidP="004E2AD1">
      <w:pPr>
        <w:ind w:firstLineChars="200" w:firstLine="420"/>
      </w:pPr>
      <w:r>
        <w:rPr>
          <w:rFonts w:hint="eastAsia"/>
        </w:rPr>
        <w:t>蓝皮书通过构建回归分析模型进行研究发现，在京津冀范围内的各城市样本中，互联网平台产业、互联网批发零售产业、数字内容与媒体产业对城镇居民人均消费产生了显著促进作用。其中，互联网平台产业对城镇居民消费的影响最为突出。从对农村居民消费的影响来看，数字经济中仅互联网批发零售产业对农村居民的消费提升起到了显著的促进作用。</w:t>
      </w:r>
    </w:p>
    <w:p w:rsidR="004E2AD1" w:rsidRDefault="004E2AD1" w:rsidP="004E2AD1">
      <w:pPr>
        <w:ind w:firstLineChars="200" w:firstLine="420"/>
      </w:pPr>
      <w:r>
        <w:rPr>
          <w:rFonts w:hint="eastAsia"/>
        </w:rPr>
        <w:t>另外，蓝皮书研究显示，数字经济的发展显著降低了京津冀城市群碳排放水平。随着数字经济发展水平不断提高，区域创新能力逐渐增强，整个社会的数字化、信息化水平将不断提高，进而推动传统产业向绿色低碳化转型，减少区域碳排放。</w:t>
      </w:r>
    </w:p>
    <w:p w:rsidR="004E2AD1" w:rsidRDefault="004E2AD1" w:rsidP="004E2AD1">
      <w:pPr>
        <w:ind w:firstLineChars="200" w:firstLine="420"/>
      </w:pPr>
      <w:r>
        <w:rPr>
          <w:rFonts w:hint="eastAsia"/>
        </w:rPr>
        <w:t>京津冀城市群数字经济发展优势明显，但急需均衡发展</w:t>
      </w:r>
    </w:p>
    <w:p w:rsidR="004E2AD1" w:rsidRDefault="004E2AD1" w:rsidP="004E2AD1">
      <w:pPr>
        <w:ind w:firstLineChars="200" w:firstLine="420"/>
      </w:pPr>
      <w:r>
        <w:rPr>
          <w:rFonts w:hint="eastAsia"/>
        </w:rPr>
        <w:t>蓝皮书从总量、结构、差距、创新四个方面对东部三大城市群数字经济发展情况进行对比分析，通过构建面板回归模型进一步对这些城市群数字经济的影响因素进行分析。</w:t>
      </w:r>
    </w:p>
    <w:p w:rsidR="004E2AD1" w:rsidRDefault="004E2AD1" w:rsidP="004E2AD1">
      <w:pPr>
        <w:ind w:firstLineChars="200" w:firstLine="420"/>
      </w:pPr>
      <w:r>
        <w:rPr>
          <w:rFonts w:hint="eastAsia"/>
        </w:rPr>
        <w:t>京津冀城市群数字服务业在营企业注册资本居东部三大城市群首位，北京优势地位显著。</w:t>
      </w:r>
      <w:r>
        <w:t>2020</w:t>
      </w:r>
      <w:r>
        <w:t>年，京津冀城市群数字服务业在营企业注册资本共计</w:t>
      </w:r>
      <w:r>
        <w:t>23779.62</w:t>
      </w:r>
      <w:r>
        <w:t>亿元，居东部三大城市群首位，分别高于长三角城市群</w:t>
      </w:r>
      <w:r>
        <w:t>3822.59</w:t>
      </w:r>
      <w:r>
        <w:t>亿元、珠三角城市群</w:t>
      </w:r>
      <w:r>
        <w:t>18372.81</w:t>
      </w:r>
      <w:r>
        <w:t>亿元。</w:t>
      </w:r>
    </w:p>
    <w:p w:rsidR="004E2AD1" w:rsidRDefault="004E2AD1" w:rsidP="004E2AD1">
      <w:pPr>
        <w:ind w:firstLineChars="200" w:firstLine="420"/>
      </w:pPr>
      <w:r>
        <w:rPr>
          <w:rFonts w:hint="eastAsia"/>
        </w:rPr>
        <w:t>京津冀城市群数字信息传输业发展具有显著优势。</w:t>
      </w:r>
      <w:r>
        <w:t>2020</w:t>
      </w:r>
      <w:r>
        <w:t>年，京津冀城市群数字信息传输业在营企业注册资本为</w:t>
      </w:r>
      <w:r>
        <w:t>14468.25</w:t>
      </w:r>
      <w:r>
        <w:t>亿元，占比为</w:t>
      </w:r>
      <w:r>
        <w:t>60.8%</w:t>
      </w:r>
      <w:r>
        <w:t>，分别高于长三角城市群</w:t>
      </w:r>
      <w:r>
        <w:t>58.7</w:t>
      </w:r>
      <w:r>
        <w:t>个百分点、珠三角城市群</w:t>
      </w:r>
      <w:r>
        <w:t>56.4</w:t>
      </w:r>
      <w:r>
        <w:t>个百分点，数字信息传输业发展具有显著优势。北京集聚了较多电信、广播电视和卫星传输服务相关行业的企业总部。</w:t>
      </w:r>
    </w:p>
    <w:p w:rsidR="004E2AD1" w:rsidRDefault="004E2AD1" w:rsidP="004E2AD1">
      <w:pPr>
        <w:ind w:firstLineChars="200" w:firstLine="420"/>
      </w:pPr>
      <w:r>
        <w:rPr>
          <w:rFonts w:hint="eastAsia"/>
        </w:rPr>
        <w:t>不过，京津冀城市群各城市间数字经济发展不均衡问题凸显，且与长三角、珠三角城市群相比差距缩小速度较为缓慢。</w:t>
      </w:r>
      <w:r>
        <w:t>2020</w:t>
      </w:r>
      <w:r>
        <w:t>年，京津冀城市群数字经济发展变异系数为</w:t>
      </w:r>
      <w:r>
        <w:t>2.85</w:t>
      </w:r>
      <w:r>
        <w:t>，长三角城市群为</w:t>
      </w:r>
      <w:r>
        <w:t>2.23</w:t>
      </w:r>
      <w:r>
        <w:t>，珠三角城市群为</w:t>
      </w:r>
      <w:r>
        <w:t>1.84</w:t>
      </w:r>
      <w:r>
        <w:t>。与长三角、珠三角城市群相比，京津冀城市群各城市数字经济发展较不均衡，近年来发展差距整体呈缩小态势。</w:t>
      </w:r>
      <w:r>
        <w:t>2010</w:t>
      </w:r>
      <w:r>
        <w:t>年至</w:t>
      </w:r>
      <w:r>
        <w:t>2020</w:t>
      </w:r>
      <w:r>
        <w:t>年，京津冀城市群数字经济发展变异系数从</w:t>
      </w:r>
      <w:r>
        <w:t>3.48</w:t>
      </w:r>
      <w:r>
        <w:t>下降至</w:t>
      </w:r>
      <w:r>
        <w:t>2.85</w:t>
      </w:r>
      <w:r>
        <w:t>，城市间数字经济发展差距逐渐缩小。但与长三角、珠三角城市群相比，京津冀城市群中，河北薄弱城市的数字经济建设仍需进一步加快，以缩</w:t>
      </w:r>
      <w:r>
        <w:rPr>
          <w:rFonts w:hint="eastAsia"/>
        </w:rPr>
        <w:t>小与京津之间的发展差距。</w:t>
      </w:r>
    </w:p>
    <w:p w:rsidR="004E2AD1" w:rsidRDefault="004E2AD1" w:rsidP="004E2AD1">
      <w:pPr>
        <w:ind w:firstLineChars="200" w:firstLine="420"/>
      </w:pPr>
      <w:r>
        <w:rPr>
          <w:rFonts w:hint="eastAsia"/>
        </w:rPr>
        <w:lastRenderedPageBreak/>
        <w:t>京津冀城市群数字服务业创新产出处于较高水平。</w:t>
      </w:r>
      <w:r>
        <w:t>2020</w:t>
      </w:r>
      <w:r>
        <w:t>年，京津冀城市群数字服务业实用新型专利数为</w:t>
      </w:r>
      <w:r>
        <w:t>15614</w:t>
      </w:r>
      <w:r>
        <w:t>件，低于长三角城市群</w:t>
      </w:r>
      <w:r>
        <w:t>9984</w:t>
      </w:r>
      <w:r>
        <w:t>件，高于珠三角城市群</w:t>
      </w:r>
      <w:r>
        <w:t>9542</w:t>
      </w:r>
      <w:r>
        <w:t>件。其中，北京数字服务业实用新型专利数为</w:t>
      </w:r>
      <w:r>
        <w:t>8501</w:t>
      </w:r>
      <w:r>
        <w:t>件，在三大城市群各城市中居第二位。从创新产出结构来看，</w:t>
      </w:r>
      <w:r>
        <w:t>2020</w:t>
      </w:r>
      <w:r>
        <w:t>年，京津冀城市群数字信息传输业、数字技术服务业、数字应用服务业实用新型专利数分别为</w:t>
      </w:r>
      <w:r>
        <w:t>1538</w:t>
      </w:r>
      <w:r>
        <w:t>件、</w:t>
      </w:r>
      <w:r>
        <w:t>12774</w:t>
      </w:r>
      <w:r>
        <w:t>件、</w:t>
      </w:r>
      <w:r>
        <w:t>1302</w:t>
      </w:r>
      <w:r>
        <w:t>件，数字技术服务业实用新型专利数居首位，但与长三角城市群相比仍存在一定的发展空间。</w:t>
      </w:r>
    </w:p>
    <w:p w:rsidR="004E2AD1" w:rsidRDefault="004E2AD1" w:rsidP="004E2AD1">
      <w:pPr>
        <w:ind w:firstLineChars="200" w:firstLine="420"/>
      </w:pPr>
      <w:r>
        <w:rPr>
          <w:rFonts w:hint="eastAsia"/>
        </w:rPr>
        <w:t>产业结构情况、创新发展水平和政府支持程度是影响京津冀城市群数字经济发展水平的主要因素。蓝皮书指出，与长三角城市群相比，政府支持程度对京津冀城市群的影响较为显著，这可能是由于北京是全国的政治中心，政府的宏观调控能力更强，更易受到多项数字经济先行先试改革的影响；与珠三角城市群相比，产业结构情况、创新发展水平对京津冀城市群的影响较为显著。京津冀城市群应在不断改善的创新环境下，有效利用政府对数字经济发展的扶持政策，形成良好的数字经济发展环境。</w:t>
      </w:r>
    </w:p>
    <w:p w:rsidR="004E2AD1" w:rsidRDefault="004E2AD1" w:rsidP="004E2AD1">
      <w:pPr>
        <w:ind w:firstLineChars="200" w:firstLine="420"/>
      </w:pPr>
      <w:r>
        <w:rPr>
          <w:rFonts w:hint="eastAsia"/>
        </w:rPr>
        <w:t>目前，以重大基础设施集群为载体的国家实验室、国家重点实验室、国家技术创新中心等成为国家战略科技力量的关键组成部分。从国际角度来看，科技革命促使创新中心和产业中心共同转移，形成了世界级产业集群。</w:t>
      </w:r>
    </w:p>
    <w:p w:rsidR="004E2AD1" w:rsidRDefault="004E2AD1" w:rsidP="004E2AD1">
      <w:pPr>
        <w:ind w:firstLineChars="200" w:firstLine="420"/>
      </w:pPr>
      <w:r>
        <w:rPr>
          <w:rFonts w:hint="eastAsia"/>
        </w:rPr>
        <w:t>基于此，北京要对标硅谷、旧金山等国家实验室所在地的国际一流创新型城区，总结国家实验室建设经验和启示，通过吸收、消化、再创新形成符合我国实际的优秀建设模式；天津、河北要依托所在地高校、科研机构的优势学科，力争在“十四五”期间高标准完成国家实验室的筹建。</w:t>
      </w:r>
    </w:p>
    <w:p w:rsidR="004E2AD1" w:rsidRDefault="004E2AD1" w:rsidP="004E2AD1">
      <w:pPr>
        <w:ind w:firstLineChars="200" w:firstLine="420"/>
      </w:pPr>
      <w:r>
        <w:rPr>
          <w:rFonts w:hint="eastAsia"/>
        </w:rPr>
        <w:t>具体到京津冀城市群内部各城市来看，整体呈现北京“一枝独秀”的发展态势，天津及河北各城市与北京在数字经济发展方面的差距仍然较大。蓝皮书提出，天津需要持续发力，成为区域内的第二个数字经济增长极；河北省数字经济产业空间不均衡现象显著，各城市需要逐渐夯实数字经济发展基础，围绕自身优势在部分领域形成数字经济发展优势，力求缩小与北京的数字化发展差距。</w:t>
      </w:r>
    </w:p>
    <w:p w:rsidR="004E2AD1" w:rsidRDefault="004E2AD1" w:rsidP="004838A6">
      <w:pPr>
        <w:jc w:val="right"/>
      </w:pPr>
      <w:r w:rsidRPr="004838A6">
        <w:rPr>
          <w:rFonts w:hint="eastAsia"/>
        </w:rPr>
        <w:t>澎湃新闻</w:t>
      </w:r>
      <w:r>
        <w:rPr>
          <w:rFonts w:hint="eastAsia"/>
        </w:rPr>
        <w:t>2022-7-21</w:t>
      </w:r>
    </w:p>
    <w:p w:rsidR="004E2AD1" w:rsidRDefault="004E2AD1" w:rsidP="00441007">
      <w:pPr>
        <w:sectPr w:rsidR="004E2AD1"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1A4D35" w:rsidRDefault="001A4D35"/>
    <w:sectPr w:rsidR="001A4D3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1A4D35">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w:t>
    </w:r>
    <w:r>
      <w:rPr>
        <w:rFonts w:hint="eastAsia"/>
      </w:rP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1A4D35">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w:t>
    </w:r>
    <w:r>
      <w:rPr>
        <w:rFonts w:hint="eastAsia"/>
        <w:szCs w:val="21"/>
      </w:rPr>
      <w:t>7277707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1A4D35">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1A4D35">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E2AD1"/>
    <w:rsid w:val="001A4D35"/>
    <w:rsid w:val="004E2A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E2AD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E2AD1"/>
    <w:rPr>
      <w:rFonts w:ascii="黑体" w:eastAsia="黑体" w:hAnsi="宋体" w:cs="Times New Roman"/>
      <w:b/>
      <w:kern w:val="36"/>
      <w:sz w:val="32"/>
      <w:szCs w:val="32"/>
    </w:rPr>
  </w:style>
  <w:style w:type="paragraph" w:styleId="a3">
    <w:name w:val="header"/>
    <w:basedOn w:val="a"/>
    <w:link w:val="Char"/>
    <w:rsid w:val="004E2AD1"/>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4E2AD1"/>
    <w:rPr>
      <w:rFonts w:ascii="宋体" w:eastAsia="宋体" w:hAnsi="宋体" w:cs="Times New Roman"/>
      <w:b/>
      <w:bCs/>
      <w:i/>
      <w:kern w:val="36"/>
      <w:sz w:val="24"/>
      <w:szCs w:val="18"/>
    </w:rPr>
  </w:style>
  <w:style w:type="paragraph" w:styleId="a4">
    <w:name w:val="footer"/>
    <w:basedOn w:val="a"/>
    <w:link w:val="Char0"/>
    <w:rsid w:val="004E2AD1"/>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4E2AD1"/>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335</Words>
  <Characters>1913</Characters>
  <Application>Microsoft Office Word</Application>
  <DocSecurity>0</DocSecurity>
  <Lines>15</Lines>
  <Paragraphs>4</Paragraphs>
  <ScaleCrop>false</ScaleCrop>
  <Company>微软中国</Company>
  <LinksUpToDate>false</LinksUpToDate>
  <CharactersWithSpaces>2244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2022-09-13T08:10:00Z</dcterms:created>
</cp:coreProperties>
</file>