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234" w:rsidRDefault="00956234" w:rsidP="00F913EA">
      <w:pPr>
        <w:pStyle w:val="1"/>
      </w:pPr>
      <w:r w:rsidRPr="00D8219C">
        <w:rPr>
          <w:rFonts w:hint="eastAsia"/>
        </w:rPr>
        <w:t>将探索建立个人慈善账户，推动落实慈善税收优惠政策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随着共同富裕、三次分配等话题的大热，慈善事业在新时代社会发展中扮演的角色也越来越重要，如何挥好第三次分配的作用，促进共同富裕？</w:t>
      </w:r>
    </w:p>
    <w:p w:rsidR="00956234" w:rsidRDefault="00956234" w:rsidP="00956234">
      <w:pPr>
        <w:ind w:firstLineChars="200" w:firstLine="420"/>
      </w:pPr>
      <w:r>
        <w:t>9</w:t>
      </w:r>
      <w:r>
        <w:t>月</w:t>
      </w:r>
      <w:r>
        <w:t>17</w:t>
      </w:r>
      <w:r>
        <w:t>日，国新办举行扎实做好民政在全面小康中的兜底夯基工作发布会。据介绍，截至</w:t>
      </w:r>
      <w:r>
        <w:t>2020</w:t>
      </w:r>
      <w:r>
        <w:t>年底，全国登记认定慈善组织</w:t>
      </w:r>
      <w:r>
        <w:t>9480</w:t>
      </w:r>
      <w:r>
        <w:t>个。下一步，民政部将完善税收优惠和扶持政策，探索建立慈善行为的记录和激励机制，让一个人一生都有一个慈善账户。同时，大力发展互联网慈善，做到</w:t>
      </w:r>
      <w:r>
        <w:t>“</w:t>
      </w:r>
      <w:r>
        <w:t>随时随地可慈善</w:t>
      </w:r>
      <w:r>
        <w:t>”</w:t>
      </w:r>
      <w:r>
        <w:t>。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去年底全国登记认定慈善组织</w:t>
      </w:r>
      <w:r>
        <w:t>9480</w:t>
      </w:r>
      <w:r>
        <w:t>个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民政部部长李纪恒会上介绍，截至</w:t>
      </w:r>
      <w:r>
        <w:t>2020</w:t>
      </w:r>
      <w:r>
        <w:t>年底，全国登记认定慈善组织</w:t>
      </w:r>
      <w:r>
        <w:t>9480</w:t>
      </w:r>
      <w:r>
        <w:t>个，净资产规模近</w:t>
      </w:r>
      <w:r>
        <w:t>2000</w:t>
      </w:r>
      <w:r>
        <w:t>亿元，相关慈善组织为疫情防控募集资金</w:t>
      </w:r>
      <w:r>
        <w:t>396.27</w:t>
      </w:r>
      <w:r>
        <w:t>亿元、物资</w:t>
      </w:r>
      <w:r>
        <w:t>10.9</w:t>
      </w:r>
      <w:r>
        <w:t>亿件。</w:t>
      </w:r>
      <w:r>
        <w:t>2012-2020</w:t>
      </w:r>
      <w:r>
        <w:t>年，累计发行福利彩票</w:t>
      </w:r>
      <w:r>
        <w:t>17187.9</w:t>
      </w:r>
      <w:r>
        <w:t>亿元、筹集彩票公益金近</w:t>
      </w:r>
      <w:r>
        <w:t>5000</w:t>
      </w:r>
      <w:r>
        <w:t>亿元，有力促进了社会福利等事业发展。社会工作专业人才总量达</w:t>
      </w:r>
      <w:r>
        <w:t>157</w:t>
      </w:r>
      <w:r>
        <w:t>万人。注册志愿者超过</w:t>
      </w:r>
      <w:r>
        <w:t>2</w:t>
      </w:r>
      <w:r>
        <w:t>亿人，较</w:t>
      </w:r>
      <w:r>
        <w:t>2012</w:t>
      </w:r>
      <w:r>
        <w:t>年增长近</w:t>
      </w:r>
      <w:r>
        <w:t>10</w:t>
      </w:r>
      <w:r>
        <w:t>倍。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“慈善力量在扶贫济困、扶老救孤、助残优抚、科教文卫、环境保护等方面都发挥了积极作用，特别是在脱贫攻坚、疫情防控、抗灾救灾这几个方面的作用尤其突出。”民政部副部长王爱文说。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比如，在脱贫攻坚方面，慈善组织这几年每年用于扶贫济困的支出达</w:t>
      </w:r>
      <w:r>
        <w:t>500</w:t>
      </w:r>
      <w:r>
        <w:t>亿元，有效支持了深度贫困地区的脱贫攻坚。在疫情防控方面，去年疫情防控期间广大慈善组织、爱心企业、爱心人士累计捐赠的资金达到</w:t>
      </w:r>
      <w:r>
        <w:t>396.27</w:t>
      </w:r>
      <w:r>
        <w:t>亿元，物资达到</w:t>
      </w:r>
      <w:r>
        <w:t>10.97</w:t>
      </w:r>
      <w:r>
        <w:t>亿件，为打赢武汉保卫战、湖北保卫战发挥了重要作用。就在今年河南郑州的特大洪涝灾害中，社会各界包括慈善组织和红十字会，对河南郑州等地的资金捐助已达到</w:t>
      </w:r>
      <w:r>
        <w:t>83</w:t>
      </w:r>
      <w:r>
        <w:t>亿。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将探索建立个人慈善账户，落实税收等优惠政策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前不久，中央财经委员会第十次会议提出“在高质量发展中促进共同富裕”，“构建初次分配、再分配、三次分配协调配套的基础性制度安排”的明确要求。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对此，民政部将采取什么措施，进一步发挥慈善事业的第三次分配作用？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王爱文表示，推动完善税收优惠和扶持政策，并落实好这些政策；探索建立慈善行为的记录和激励机制，让一个人一生都有一个慈善账户，一生做慈善，造福社会一生。同时完善志愿者注册、服务记录等制度，完善慈善信托管理制度。通过这些激励政策和措施，进一步拓宽居民收入、社会财富向慈善事业涌流的渠道。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此外，要适应互联网时代发展的需要，大力发展互联网慈善，推动慈善形式不断创新。“有的互联网平台推出一些项目，像日捐、月捐、跑步捐，你把走的步数上传到慈善的平台，健康、慈善一举多得。”王爱文说。</w:t>
      </w:r>
    </w:p>
    <w:p w:rsidR="00956234" w:rsidRDefault="00956234" w:rsidP="00956234">
      <w:pPr>
        <w:ind w:firstLineChars="200" w:firstLine="420"/>
      </w:pPr>
      <w:r>
        <w:rPr>
          <w:rFonts w:hint="eastAsia"/>
        </w:rPr>
        <w:t>此外，民政部还将大力发展慈善组织，发展志愿服务组织，提高其对慈善资源的组织能力和配置能力。同时民政部还要加强对慈善组织事中事后的监管，加强联合执法，让慈善组织的获得和用出的每一分钱都能够清楚透明，每个慈善的项目都能放在监督之下，更有效地发挥作用。</w:t>
      </w:r>
    </w:p>
    <w:p w:rsidR="00956234" w:rsidRDefault="00956234" w:rsidP="00F913EA">
      <w:pPr>
        <w:jc w:val="right"/>
      </w:pPr>
      <w:r w:rsidRPr="00D8219C">
        <w:rPr>
          <w:rFonts w:hint="eastAsia"/>
        </w:rPr>
        <w:t>南方都市报</w:t>
      </w:r>
      <w:r>
        <w:rPr>
          <w:rFonts w:hint="eastAsia"/>
        </w:rPr>
        <w:t xml:space="preserve"> 2021-9-17</w:t>
      </w:r>
    </w:p>
    <w:p w:rsidR="00956234" w:rsidRDefault="00956234" w:rsidP="00E30727">
      <w:pPr>
        <w:sectPr w:rsidR="00956234" w:rsidSect="00E307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7C31" w:rsidRDefault="00A37C31"/>
    <w:sectPr w:rsidR="00A37C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6234"/>
    <w:rsid w:val="00956234"/>
    <w:rsid w:val="00A37C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62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623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>Microsoft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2022-07-07T02:54:00Z</dcterms:created>
</cp:coreProperties>
</file>