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E7A" w:rsidRDefault="00BD6E7A" w:rsidP="00D37602">
      <w:pPr>
        <w:pStyle w:val="1"/>
      </w:pPr>
      <w:r w:rsidRPr="00D37602">
        <w:rPr>
          <w:rFonts w:hint="eastAsia"/>
        </w:rPr>
        <w:t>保山市工商联通报</w:t>
      </w:r>
      <w:r w:rsidRPr="00D37602">
        <w:t>2021年上半年民营经济领域意识形态工作情况</w:t>
      </w:r>
    </w:p>
    <w:p w:rsidR="00BD6E7A" w:rsidRDefault="00BD6E7A" w:rsidP="00BD6E7A">
      <w:pPr>
        <w:ind w:firstLineChars="200" w:firstLine="420"/>
      </w:pPr>
      <w:r>
        <w:t>7</w:t>
      </w:r>
      <w:r>
        <w:t>月</w:t>
      </w:r>
      <w:r>
        <w:t>23</w:t>
      </w:r>
      <w:r>
        <w:t>日下午，保山市工商联组织所属商（协）会及部分兼职副主席、副会长企业负责人等共计</w:t>
      </w:r>
      <w:r>
        <w:t>40</w:t>
      </w:r>
      <w:r>
        <w:t>余人召开</w:t>
      </w:r>
      <w:r>
        <w:t>2021</w:t>
      </w:r>
      <w:r>
        <w:t>年上半年民营经济领域意识形态分析研判暨下半年工作部署会议。</w:t>
      </w:r>
    </w:p>
    <w:p w:rsidR="00BD6E7A" w:rsidRDefault="00BD6E7A" w:rsidP="00BD6E7A">
      <w:pPr>
        <w:ind w:firstLineChars="200" w:firstLine="420"/>
      </w:pPr>
      <w:r>
        <w:rPr>
          <w:rFonts w:hint="eastAsia"/>
        </w:rPr>
        <w:t>会议对上半年民营经济领域意识形态工作情况进行了通报。认为，当前全市工商联及非公经济人士意识形态领域积极健康、向上向好，但也存在对营业收入（销售额）预期持悲观态度、对国内投资预期持观望态度、四史学习教育活动开展不够深入、思想宣传工作不到位等困难和问题。</w:t>
      </w:r>
    </w:p>
    <w:p w:rsidR="00BD6E7A" w:rsidRDefault="00BD6E7A" w:rsidP="00BD6E7A">
      <w:pPr>
        <w:ind w:firstLineChars="200" w:firstLine="420"/>
      </w:pPr>
      <w:r>
        <w:rPr>
          <w:rFonts w:hint="eastAsia"/>
        </w:rPr>
        <w:t>会议指出，下半年要从“五个着力”上进一步加强民营经济领域意识形态工作。一是要着力加强非公有制经济领域理想信念教育；二是要着力加强工商联、商协会意识形态工作能力建设；三是要着力加强“亲”“清”政商关系建设；四是要着力加强非公有制经济领域意识形态阵地建设；五是要着力加强非公有制经济领域意识形态工作责任制落实。</w:t>
      </w:r>
    </w:p>
    <w:p w:rsidR="00BD6E7A" w:rsidRDefault="00BD6E7A" w:rsidP="00BD6E7A">
      <w:pPr>
        <w:ind w:firstLineChars="200" w:firstLine="420"/>
        <w:jc w:val="right"/>
      </w:pPr>
      <w:r w:rsidRPr="00D37602">
        <w:rPr>
          <w:rFonts w:hint="eastAsia"/>
        </w:rPr>
        <w:t>腾讯网</w:t>
      </w:r>
      <w:r w:rsidRPr="00D37602">
        <w:t>2021</w:t>
      </w:r>
      <w:r>
        <w:rPr>
          <w:rFonts w:hint="eastAsia"/>
        </w:rPr>
        <w:t>-0</w:t>
      </w:r>
      <w:r w:rsidRPr="00D37602">
        <w:t>7</w:t>
      </w:r>
      <w:r>
        <w:rPr>
          <w:rFonts w:hint="eastAsia"/>
        </w:rPr>
        <w:t>-</w:t>
      </w:r>
      <w:r w:rsidRPr="00D37602">
        <w:t>29</w:t>
      </w:r>
    </w:p>
    <w:p w:rsidR="00BD6E7A" w:rsidRDefault="00BD6E7A" w:rsidP="00EE5948">
      <w:pPr>
        <w:sectPr w:rsidR="00BD6E7A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6B45" w:rsidRDefault="00576B45"/>
    <w:sectPr w:rsidR="00576B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6E7A"/>
    <w:rsid w:val="00576B45"/>
    <w:rsid w:val="00BD6E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6E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D6E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349</Characters>
  <Application>Microsoft Office Word</Application>
  <DocSecurity>0</DocSecurity>
  <Lines>2</Lines>
  <Paragraphs>1</Paragraphs>
  <ScaleCrop>false</ScaleCrop>
  <Company>Sky123.Org</Company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